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E8960" w14:textId="77777777" w:rsidR="00DF6118" w:rsidRPr="008C64E9" w:rsidRDefault="00DF6118" w:rsidP="008C64E9">
      <w:pPr>
        <w:widowControl w:val="0"/>
        <w:pBdr>
          <w:bottom w:val="single" w:sz="6" w:space="1" w:color="auto"/>
        </w:pBdr>
        <w:autoSpaceDE w:val="0"/>
        <w:autoSpaceDN w:val="0"/>
        <w:adjustRightInd w:val="0"/>
        <w:spacing w:line="360" w:lineRule="atLeast"/>
        <w:rPr>
          <w:rFonts w:ascii="Times New Roman" w:eastAsia="Times New Roman" w:hAnsi="Times New Roman"/>
          <w:b/>
          <w:sz w:val="28"/>
          <w:szCs w:val="28"/>
          <w:lang w:val="en-CA"/>
        </w:rPr>
      </w:pPr>
      <w:r w:rsidRPr="008C64E9">
        <w:rPr>
          <w:rFonts w:ascii="Times New Roman" w:eastAsia="Times New Roman" w:hAnsi="Times New Roman"/>
          <w:b/>
          <w:sz w:val="28"/>
          <w:szCs w:val="28"/>
          <w:lang w:val="en-CA"/>
        </w:rPr>
        <w:t>Case Brief</w:t>
      </w:r>
      <w:r w:rsidRPr="008C64E9">
        <w:rPr>
          <w:rFonts w:ascii="Times New Roman" w:eastAsia="Times New Roman" w:hAnsi="Times New Roman"/>
          <w:b/>
          <w:sz w:val="28"/>
          <w:szCs w:val="28"/>
          <w:lang w:val="en-CA"/>
        </w:rPr>
        <w:tab/>
      </w:r>
      <w:r w:rsidRPr="008C64E9">
        <w:rPr>
          <w:rFonts w:ascii="Times New Roman" w:eastAsia="Times New Roman" w:hAnsi="Times New Roman"/>
          <w:b/>
          <w:sz w:val="28"/>
          <w:szCs w:val="28"/>
          <w:lang w:val="en-CA"/>
        </w:rPr>
        <w:tab/>
      </w:r>
      <w:r w:rsidRPr="008C64E9">
        <w:rPr>
          <w:rFonts w:ascii="Times New Roman" w:eastAsia="Times New Roman" w:hAnsi="Times New Roman"/>
          <w:b/>
          <w:sz w:val="28"/>
          <w:szCs w:val="28"/>
          <w:lang w:val="en-CA"/>
        </w:rPr>
        <w:tab/>
      </w:r>
      <w:r w:rsidRPr="008C64E9">
        <w:rPr>
          <w:rFonts w:ascii="Times New Roman" w:eastAsia="Times New Roman" w:hAnsi="Times New Roman"/>
          <w:b/>
          <w:sz w:val="28"/>
          <w:szCs w:val="28"/>
          <w:lang w:val="en-CA"/>
        </w:rPr>
        <w:tab/>
      </w:r>
      <w:r w:rsidRPr="008C64E9">
        <w:rPr>
          <w:rFonts w:ascii="Times New Roman" w:eastAsia="Times New Roman" w:hAnsi="Times New Roman"/>
          <w:b/>
          <w:sz w:val="28"/>
          <w:szCs w:val="28"/>
          <w:lang w:val="en-CA"/>
        </w:rPr>
        <w:tab/>
      </w:r>
      <w:r w:rsidRPr="008C64E9">
        <w:rPr>
          <w:rFonts w:ascii="Times New Roman" w:eastAsia="Times New Roman" w:hAnsi="Times New Roman"/>
          <w:b/>
          <w:sz w:val="28"/>
          <w:szCs w:val="28"/>
          <w:lang w:val="en-CA"/>
        </w:rPr>
        <w:tab/>
      </w:r>
      <w:r w:rsidRPr="008C64E9">
        <w:rPr>
          <w:rFonts w:ascii="Times New Roman" w:eastAsia="Times New Roman" w:hAnsi="Times New Roman"/>
          <w:b/>
          <w:sz w:val="28"/>
          <w:szCs w:val="28"/>
          <w:lang w:val="en-CA"/>
        </w:rPr>
        <w:tab/>
      </w:r>
      <w:r w:rsidRPr="008C64E9">
        <w:rPr>
          <w:rFonts w:ascii="Times New Roman" w:eastAsia="Times New Roman" w:hAnsi="Times New Roman"/>
          <w:b/>
          <w:sz w:val="28"/>
          <w:szCs w:val="28"/>
          <w:lang w:val="en-CA"/>
        </w:rPr>
        <w:tab/>
      </w:r>
      <w:r w:rsidRPr="008C64E9">
        <w:rPr>
          <w:rFonts w:ascii="Times New Roman" w:eastAsia="Times New Roman" w:hAnsi="Times New Roman"/>
          <w:b/>
          <w:sz w:val="28"/>
          <w:szCs w:val="28"/>
          <w:lang w:val="en-CA"/>
        </w:rPr>
        <w:tab/>
      </w:r>
      <w:r w:rsidRPr="008C64E9">
        <w:rPr>
          <w:rFonts w:ascii="Times New Roman" w:eastAsia="Times New Roman" w:hAnsi="Times New Roman"/>
          <w:b/>
          <w:sz w:val="28"/>
          <w:szCs w:val="28"/>
          <w:lang w:val="en-CA"/>
        </w:rPr>
        <w:tab/>
        <w:t xml:space="preserve">    July 2017</w:t>
      </w:r>
    </w:p>
    <w:p w14:paraId="032C666B" w14:textId="740C7430" w:rsidR="008C64E9" w:rsidRPr="008C64E9" w:rsidRDefault="008C64E9" w:rsidP="008C64E9">
      <w:pPr>
        <w:widowControl w:val="0"/>
        <w:pBdr>
          <w:bottom w:val="single" w:sz="6" w:space="1" w:color="auto"/>
        </w:pBdr>
        <w:autoSpaceDE w:val="0"/>
        <w:autoSpaceDN w:val="0"/>
        <w:adjustRightInd w:val="0"/>
        <w:spacing w:line="360" w:lineRule="atLeast"/>
        <w:jc w:val="both"/>
        <w:rPr>
          <w:rFonts w:ascii="Times New Roman" w:eastAsia="Times New Roman" w:hAnsi="Times New Roman"/>
          <w:b/>
          <w:sz w:val="48"/>
          <w:lang w:val="en-CA"/>
        </w:rPr>
      </w:pPr>
      <w:bookmarkStart w:id="0" w:name="_GoBack"/>
      <w:r>
        <w:rPr>
          <w:rFonts w:ascii="Times New Roman" w:eastAsia="Times New Roman" w:hAnsi="Times New Roman"/>
          <w:b/>
          <w:sz w:val="48"/>
          <w:lang w:val="en-CA"/>
        </w:rPr>
        <w:t xml:space="preserve">The Site C Dam and the </w:t>
      </w:r>
      <w:r w:rsidR="00853B19">
        <w:rPr>
          <w:rFonts w:ascii="Times New Roman" w:eastAsia="Times New Roman" w:hAnsi="Times New Roman"/>
          <w:b/>
          <w:sz w:val="48"/>
          <w:lang w:val="en-CA"/>
        </w:rPr>
        <w:t>Duty to Consult &amp; Accommodate First Nations</w:t>
      </w:r>
    </w:p>
    <w:bookmarkEnd w:id="0"/>
    <w:p w14:paraId="4122552B" w14:textId="18495D24" w:rsidR="0022073E" w:rsidRPr="008C64E9" w:rsidRDefault="00A7554E" w:rsidP="008C64E9">
      <w:pPr>
        <w:widowControl w:val="0"/>
        <w:pBdr>
          <w:bottom w:val="single" w:sz="6" w:space="1" w:color="auto"/>
        </w:pBdr>
        <w:autoSpaceDE w:val="0"/>
        <w:autoSpaceDN w:val="0"/>
        <w:adjustRightInd w:val="0"/>
        <w:spacing w:line="360" w:lineRule="atLeast"/>
        <w:jc w:val="both"/>
        <w:rPr>
          <w:rFonts w:ascii="Times New Roman" w:eastAsia="Times New Roman" w:hAnsi="Times New Roman"/>
          <w:b/>
          <w:sz w:val="28"/>
          <w:szCs w:val="28"/>
          <w:lang w:val="en-CA"/>
        </w:rPr>
      </w:pPr>
      <w:r w:rsidRPr="008C64E9">
        <w:rPr>
          <w:rFonts w:ascii="Times New Roman" w:eastAsia="Times New Roman" w:hAnsi="Times New Roman"/>
          <w:b/>
          <w:i/>
          <w:sz w:val="28"/>
          <w:szCs w:val="28"/>
          <w:lang w:val="en-CA"/>
        </w:rPr>
        <w:t>Prophet River First Nation v Canada (Attorney General),</w:t>
      </w:r>
      <w:r w:rsidRPr="008C64E9">
        <w:rPr>
          <w:rFonts w:ascii="Times New Roman" w:eastAsia="Times New Roman" w:hAnsi="Times New Roman"/>
          <w:b/>
          <w:sz w:val="28"/>
          <w:szCs w:val="28"/>
          <w:lang w:val="en-CA"/>
        </w:rPr>
        <w:t xml:space="preserve"> 2017 FCA 15</w:t>
      </w:r>
    </w:p>
    <w:p w14:paraId="303376D0" w14:textId="77777777" w:rsidR="008C64E9" w:rsidRDefault="008C64E9" w:rsidP="00E87CE3">
      <w:pPr>
        <w:spacing w:line="276" w:lineRule="auto"/>
        <w:rPr>
          <w:rFonts w:ascii="Times New Roman" w:eastAsia="Times New Roman" w:hAnsi="Times New Roman"/>
          <w:lang w:val="en-CA"/>
        </w:rPr>
      </w:pPr>
    </w:p>
    <w:p w14:paraId="4B367FD3" w14:textId="77777777" w:rsidR="00792854" w:rsidRDefault="00792854" w:rsidP="00792854">
      <w:pPr>
        <w:spacing w:line="276" w:lineRule="auto"/>
        <w:jc w:val="both"/>
        <w:rPr>
          <w:rFonts w:ascii="Times New Roman" w:eastAsia="Times New Roman" w:hAnsi="Times New Roman"/>
          <w:lang w:val="en-CA"/>
        </w:rPr>
      </w:pPr>
      <w:r>
        <w:rPr>
          <w:rFonts w:ascii="Times New Roman" w:eastAsia="Times New Roman" w:hAnsi="Times New Roman"/>
          <w:lang w:val="en-CA"/>
        </w:rPr>
        <w:t xml:space="preserve">In this case, the Court confirms that it is first and foremost concerned with whether there has been adequate consultation and accommodation in relation to First Nation Treaty rights in the context of the Site C Project. </w:t>
      </w:r>
    </w:p>
    <w:p w14:paraId="04D29A72" w14:textId="77777777" w:rsidR="00792854" w:rsidRDefault="00792854" w:rsidP="00792854">
      <w:pPr>
        <w:spacing w:line="276" w:lineRule="auto"/>
        <w:rPr>
          <w:rFonts w:ascii="Times New Roman" w:eastAsia="Times New Roman" w:hAnsi="Times New Roman"/>
          <w:lang w:val="en-CA"/>
        </w:rPr>
      </w:pPr>
    </w:p>
    <w:p w14:paraId="1E7BC442" w14:textId="77777777" w:rsidR="00792854" w:rsidRPr="008A0491" w:rsidRDefault="00792854" w:rsidP="00792854">
      <w:pPr>
        <w:spacing w:line="276" w:lineRule="auto"/>
        <w:jc w:val="both"/>
      </w:pPr>
      <w:r>
        <w:rPr>
          <w:rFonts w:ascii="Times New Roman" w:eastAsia="Times New Roman" w:hAnsi="Times New Roman"/>
          <w:lang w:val="en-CA"/>
        </w:rPr>
        <w:t>Prophet River First Nation and West Moberly First Nation applied for judicial review of the Governor in Council (“</w:t>
      </w:r>
      <w:r w:rsidRPr="00E24875">
        <w:rPr>
          <w:rFonts w:ascii="Times New Roman" w:eastAsia="Times New Roman" w:hAnsi="Times New Roman"/>
          <w:lang w:val="en-CA"/>
        </w:rPr>
        <w:t>GIC</w:t>
      </w:r>
      <w:r>
        <w:rPr>
          <w:rFonts w:ascii="Times New Roman" w:eastAsia="Times New Roman" w:hAnsi="Times New Roman"/>
          <w:lang w:val="en-CA"/>
        </w:rPr>
        <w:t xml:space="preserve">”) decision-making authority under subsection 52(4) of the </w:t>
      </w:r>
      <w:r w:rsidRPr="00D542B0">
        <w:rPr>
          <w:rFonts w:ascii="Times New Roman" w:eastAsia="Times New Roman" w:hAnsi="Times New Roman"/>
          <w:i/>
          <w:lang w:val="en-CA"/>
        </w:rPr>
        <w:t>Canadian Environmental Assessment Act, 2012</w:t>
      </w:r>
      <w:r>
        <w:rPr>
          <w:rFonts w:ascii="Times New Roman" w:eastAsia="Times New Roman" w:hAnsi="Times New Roman"/>
          <w:lang w:val="en-CA"/>
        </w:rPr>
        <w:t>.</w:t>
      </w:r>
      <w:r>
        <w:rPr>
          <w:rStyle w:val="FootnoteReference"/>
          <w:rFonts w:ascii="Times New Roman" w:eastAsia="Times New Roman" w:hAnsi="Times New Roman"/>
          <w:lang w:val="en-CA"/>
        </w:rPr>
        <w:footnoteReference w:id="1"/>
      </w:r>
      <w:r>
        <w:rPr>
          <w:rFonts w:ascii="Times New Roman" w:eastAsia="Times New Roman" w:hAnsi="Times New Roman"/>
          <w:lang w:val="en-CA"/>
        </w:rPr>
        <w:t xml:space="preserve"> The First Nations alleged that the GIC must consider whether their Treaty rights would be unjustifiably infringed when making a decision pursuant to subsection 52(4).</w:t>
      </w:r>
    </w:p>
    <w:p w14:paraId="0D24DE56" w14:textId="77777777" w:rsidR="00792854" w:rsidRDefault="00792854" w:rsidP="00792854">
      <w:pPr>
        <w:spacing w:line="276" w:lineRule="auto"/>
        <w:rPr>
          <w:rFonts w:ascii="Times New Roman" w:eastAsia="Times New Roman" w:hAnsi="Times New Roman"/>
          <w:lang w:val="en-CA"/>
        </w:rPr>
      </w:pPr>
    </w:p>
    <w:p w14:paraId="5A725239" w14:textId="77777777" w:rsidR="00792854" w:rsidRDefault="00792854" w:rsidP="00792854">
      <w:pPr>
        <w:spacing w:line="276" w:lineRule="auto"/>
        <w:jc w:val="both"/>
        <w:rPr>
          <w:rFonts w:ascii="Times New Roman" w:eastAsia="Times New Roman" w:hAnsi="Times New Roman"/>
          <w:lang w:val="en-CA"/>
        </w:rPr>
      </w:pPr>
      <w:r>
        <w:rPr>
          <w:rFonts w:ascii="Times New Roman" w:eastAsia="Times New Roman" w:hAnsi="Times New Roman"/>
          <w:lang w:val="en-CA"/>
        </w:rPr>
        <w:t>The Federal Court dismissed the application for judicial review and the Federal Court of Appeal upheld the decision. The application for leave to appeal to the Supreme Court of Canada was dismissed on June 29, 2017.</w:t>
      </w:r>
    </w:p>
    <w:p w14:paraId="6EC92B66" w14:textId="77777777" w:rsidR="00792854" w:rsidRDefault="00792854" w:rsidP="00792854">
      <w:pPr>
        <w:spacing w:line="276" w:lineRule="auto"/>
        <w:rPr>
          <w:rFonts w:ascii="Times New Roman" w:eastAsia="Times New Roman" w:hAnsi="Times New Roman"/>
          <w:lang w:val="en-CA"/>
        </w:rPr>
      </w:pPr>
    </w:p>
    <w:p w14:paraId="3692C7F7" w14:textId="77777777" w:rsidR="00792854" w:rsidRPr="00965366" w:rsidRDefault="00792854" w:rsidP="00792854">
      <w:pPr>
        <w:spacing w:line="276" w:lineRule="auto"/>
        <w:rPr>
          <w:rFonts w:ascii="Times New Roman" w:eastAsia="Times New Roman" w:hAnsi="Times New Roman"/>
          <w:b/>
          <w:lang w:val="en-CA"/>
        </w:rPr>
      </w:pPr>
      <w:r w:rsidRPr="00965366">
        <w:rPr>
          <w:rFonts w:ascii="Times New Roman" w:eastAsia="Times New Roman" w:hAnsi="Times New Roman"/>
          <w:b/>
          <w:lang w:val="en-CA"/>
        </w:rPr>
        <w:t>Background</w:t>
      </w:r>
    </w:p>
    <w:p w14:paraId="380E1563" w14:textId="77777777" w:rsidR="00792854" w:rsidRPr="008437D1" w:rsidRDefault="00792854" w:rsidP="00792854">
      <w:pPr>
        <w:spacing w:line="276" w:lineRule="auto"/>
        <w:jc w:val="both"/>
        <w:rPr>
          <w:rFonts w:ascii="Times New Roman" w:eastAsia="Times New Roman" w:hAnsi="Times New Roman"/>
          <w:i/>
          <w:lang w:val="en-CA"/>
        </w:rPr>
      </w:pPr>
      <w:r>
        <w:rPr>
          <w:rFonts w:ascii="Times New Roman" w:eastAsia="Times New Roman" w:hAnsi="Times New Roman"/>
          <w:lang w:val="en-CA"/>
        </w:rPr>
        <w:t>The British Columbia Hydro and Power Authority plans to take up Treaty 8 lands on the Peace River for the Site C Clean Energy Project (“</w:t>
      </w:r>
      <w:r w:rsidRPr="00E24875">
        <w:rPr>
          <w:rFonts w:ascii="Times New Roman" w:eastAsia="Times New Roman" w:hAnsi="Times New Roman"/>
          <w:lang w:val="en-CA"/>
        </w:rPr>
        <w:t>Site C Project</w:t>
      </w:r>
      <w:r>
        <w:rPr>
          <w:rFonts w:ascii="Times New Roman" w:eastAsia="Times New Roman" w:hAnsi="Times New Roman"/>
          <w:lang w:val="en-CA"/>
        </w:rPr>
        <w:t>”). The governments of Canada and British Columbia established a Joint Review Panel (“</w:t>
      </w:r>
      <w:r w:rsidRPr="00E24875">
        <w:rPr>
          <w:rFonts w:ascii="Times New Roman" w:eastAsia="Times New Roman" w:hAnsi="Times New Roman"/>
          <w:lang w:val="en-CA"/>
        </w:rPr>
        <w:t>JRP</w:t>
      </w:r>
      <w:r>
        <w:rPr>
          <w:rFonts w:ascii="Times New Roman" w:eastAsia="Times New Roman" w:hAnsi="Times New Roman"/>
          <w:lang w:val="en-CA"/>
        </w:rPr>
        <w:t xml:space="preserve">”) pursuant to the </w:t>
      </w:r>
      <w:r>
        <w:rPr>
          <w:rFonts w:ascii="Times New Roman" w:eastAsia="Times New Roman" w:hAnsi="Times New Roman"/>
          <w:i/>
          <w:lang w:val="en-CA"/>
        </w:rPr>
        <w:t>Canadian Environmental Assessment Act, 2012</w:t>
      </w:r>
      <w:r>
        <w:rPr>
          <w:rFonts w:ascii="Times New Roman" w:eastAsia="Times New Roman" w:hAnsi="Times New Roman"/>
          <w:lang w:val="en-CA"/>
        </w:rPr>
        <w:t xml:space="preserve">, and the British Columbia </w:t>
      </w:r>
      <w:r>
        <w:rPr>
          <w:rFonts w:ascii="Times New Roman" w:eastAsia="Times New Roman" w:hAnsi="Times New Roman"/>
          <w:i/>
          <w:lang w:val="en-CA"/>
        </w:rPr>
        <w:t xml:space="preserve">Environmental Assessment Act, SBC 2002, </w:t>
      </w:r>
      <w:r w:rsidRPr="008437D1">
        <w:rPr>
          <w:rFonts w:ascii="Times New Roman" w:eastAsia="Times New Roman" w:hAnsi="Times New Roman"/>
          <w:lang w:val="en-CA"/>
        </w:rPr>
        <w:t>to assess</w:t>
      </w:r>
      <w:r>
        <w:rPr>
          <w:rFonts w:ascii="Times New Roman" w:eastAsia="Times New Roman" w:hAnsi="Times New Roman"/>
          <w:lang w:val="en-CA"/>
        </w:rPr>
        <w:t xml:space="preserve"> the impacts of the Site C Project.</w:t>
      </w:r>
    </w:p>
    <w:p w14:paraId="0F575BD2" w14:textId="77777777" w:rsidR="00792854" w:rsidRDefault="00792854" w:rsidP="00792854">
      <w:pPr>
        <w:spacing w:line="276" w:lineRule="auto"/>
        <w:rPr>
          <w:rFonts w:ascii="Times New Roman" w:eastAsia="Times New Roman" w:hAnsi="Times New Roman"/>
          <w:lang w:val="en-CA"/>
        </w:rPr>
      </w:pPr>
    </w:p>
    <w:p w14:paraId="256A4D80" w14:textId="77777777" w:rsidR="00792854" w:rsidRDefault="00792854" w:rsidP="00792854">
      <w:pPr>
        <w:spacing w:line="276" w:lineRule="auto"/>
        <w:rPr>
          <w:rFonts w:ascii="Times New Roman" w:eastAsia="Times New Roman" w:hAnsi="Times New Roman"/>
          <w:lang w:val="en-CA"/>
        </w:rPr>
      </w:pPr>
      <w:r>
        <w:rPr>
          <w:rFonts w:ascii="Times New Roman" w:eastAsia="Times New Roman" w:hAnsi="Times New Roman"/>
          <w:lang w:val="en-CA"/>
        </w:rPr>
        <w:t>The JRP incorporated the duty to consult and accommodate the First Nations into its procedure, and set the threshold for consultation at the deep end of the spectrum.</w:t>
      </w:r>
      <w:r>
        <w:rPr>
          <w:rStyle w:val="FootnoteReference"/>
          <w:rFonts w:ascii="Times New Roman" w:eastAsia="Times New Roman" w:hAnsi="Times New Roman"/>
          <w:lang w:val="en-CA"/>
        </w:rPr>
        <w:footnoteReference w:id="2"/>
      </w:r>
      <w:r>
        <w:rPr>
          <w:rFonts w:ascii="Times New Roman" w:eastAsia="Times New Roman" w:hAnsi="Times New Roman"/>
          <w:lang w:val="en-CA"/>
        </w:rPr>
        <w:t xml:space="preserve"> The JRP concluded that the Site C Project would cause significant adverse effects on fishing, hunting, trapping, and on other traditional uses of Treaty 8 lands that could not be mitigated.</w:t>
      </w:r>
      <w:r>
        <w:rPr>
          <w:rStyle w:val="FootnoteReference"/>
          <w:rFonts w:ascii="Times New Roman" w:eastAsia="Times New Roman" w:hAnsi="Times New Roman"/>
          <w:lang w:val="en-CA"/>
        </w:rPr>
        <w:footnoteReference w:id="3"/>
      </w:r>
      <w:r>
        <w:rPr>
          <w:rFonts w:ascii="Times New Roman" w:eastAsia="Times New Roman" w:hAnsi="Times New Roman"/>
          <w:lang w:val="en-CA"/>
        </w:rPr>
        <w:t xml:space="preserve"> The Minister also concluded that the Site C Project was likely to cause significant adverse environmental effects and referred </w:t>
      </w:r>
      <w:r>
        <w:rPr>
          <w:rFonts w:ascii="Times New Roman" w:eastAsia="Times New Roman" w:hAnsi="Times New Roman"/>
          <w:lang w:val="en-CA"/>
        </w:rPr>
        <w:lastRenderedPageBreak/>
        <w:t>the matter to the GIC.</w:t>
      </w:r>
      <w:r>
        <w:rPr>
          <w:rStyle w:val="FootnoteReference"/>
          <w:rFonts w:ascii="Times New Roman" w:eastAsia="Times New Roman" w:hAnsi="Times New Roman"/>
          <w:lang w:val="en-CA"/>
        </w:rPr>
        <w:footnoteReference w:id="4"/>
      </w:r>
      <w:r>
        <w:rPr>
          <w:rFonts w:ascii="Times New Roman" w:eastAsia="Times New Roman" w:hAnsi="Times New Roman"/>
          <w:lang w:val="en-CA"/>
        </w:rPr>
        <w:t xml:space="preserve"> The GIC subsequently determined that the adverse effects were justified, and issued a federal authorization for the Site C Project.</w:t>
      </w:r>
      <w:r>
        <w:rPr>
          <w:rStyle w:val="FootnoteReference"/>
          <w:rFonts w:ascii="Times New Roman" w:eastAsia="Times New Roman" w:hAnsi="Times New Roman"/>
          <w:lang w:val="en-CA"/>
        </w:rPr>
        <w:footnoteReference w:id="5"/>
      </w:r>
      <w:r>
        <w:rPr>
          <w:rFonts w:ascii="Times New Roman" w:eastAsia="Times New Roman" w:hAnsi="Times New Roman"/>
          <w:lang w:val="en-CA"/>
        </w:rPr>
        <w:t xml:space="preserve"> </w:t>
      </w:r>
      <w:r>
        <w:rPr>
          <w:rFonts w:ascii="Times New Roman" w:eastAsia="Times New Roman" w:hAnsi="Times New Roman"/>
          <w:lang w:val="en-CA"/>
        </w:rPr>
        <w:br/>
      </w:r>
    </w:p>
    <w:p w14:paraId="7A2BE28A" w14:textId="77777777" w:rsidR="00792854" w:rsidRPr="00965366" w:rsidRDefault="00792854" w:rsidP="00792854">
      <w:pPr>
        <w:spacing w:line="276" w:lineRule="auto"/>
        <w:rPr>
          <w:rFonts w:ascii="Times New Roman" w:eastAsia="Times New Roman" w:hAnsi="Times New Roman"/>
          <w:b/>
          <w:shd w:val="clear" w:color="auto" w:fill="FFFFFF"/>
          <w:lang w:val="en-CA"/>
        </w:rPr>
      </w:pPr>
      <w:r w:rsidRPr="00965366">
        <w:rPr>
          <w:rFonts w:ascii="Times New Roman" w:eastAsia="Times New Roman" w:hAnsi="Times New Roman"/>
          <w:b/>
          <w:shd w:val="clear" w:color="auto" w:fill="FFFFFF"/>
          <w:lang w:val="en-CA"/>
        </w:rPr>
        <w:t>Issues</w:t>
      </w:r>
    </w:p>
    <w:p w14:paraId="009ECD6F" w14:textId="77777777" w:rsidR="00792854" w:rsidRPr="00965366" w:rsidRDefault="00792854" w:rsidP="00792854">
      <w:pPr>
        <w:spacing w:line="276" w:lineRule="auto"/>
        <w:jc w:val="both"/>
        <w:rPr>
          <w:rFonts w:ascii="Times New Roman" w:eastAsia="Times New Roman" w:hAnsi="Times New Roman"/>
          <w:shd w:val="clear" w:color="auto" w:fill="FFFFFF"/>
          <w:lang w:val="en-CA"/>
        </w:rPr>
      </w:pPr>
      <w:r w:rsidRPr="00965366">
        <w:rPr>
          <w:rFonts w:ascii="Times New Roman" w:eastAsia="Times New Roman" w:hAnsi="Times New Roman"/>
          <w:shd w:val="clear" w:color="auto" w:fill="FFFFFF"/>
          <w:lang w:val="en-CA"/>
        </w:rPr>
        <w:t xml:space="preserve">The following issues were before the Federal Court of Appeal in relation to subsection 52(4) of the </w:t>
      </w:r>
      <w:r w:rsidRPr="00965366">
        <w:rPr>
          <w:rFonts w:ascii="Times New Roman" w:eastAsia="Times New Roman" w:hAnsi="Times New Roman"/>
          <w:i/>
          <w:shd w:val="clear" w:color="auto" w:fill="FFFFFF"/>
          <w:lang w:val="en-CA"/>
        </w:rPr>
        <w:t>CEAA 2012</w:t>
      </w:r>
      <w:r w:rsidRPr="00965366">
        <w:rPr>
          <w:rFonts w:ascii="Times New Roman" w:eastAsia="Times New Roman" w:hAnsi="Times New Roman"/>
          <w:shd w:val="clear" w:color="auto" w:fill="FFFFFF"/>
          <w:lang w:val="en-CA"/>
        </w:rPr>
        <w:t>:</w:t>
      </w:r>
    </w:p>
    <w:p w14:paraId="673BD431" w14:textId="77777777" w:rsidR="00792854" w:rsidRDefault="00792854" w:rsidP="00792854">
      <w:pPr>
        <w:spacing w:line="276" w:lineRule="auto"/>
        <w:rPr>
          <w:rFonts w:ascii="Times New Roman" w:eastAsia="Times New Roman" w:hAnsi="Times New Roman"/>
          <w:color w:val="333333"/>
          <w:shd w:val="clear" w:color="auto" w:fill="FFFFFF"/>
          <w:lang w:val="en-CA"/>
        </w:rPr>
      </w:pPr>
    </w:p>
    <w:p w14:paraId="7D4856D5" w14:textId="77777777" w:rsidR="00792854" w:rsidRDefault="00792854" w:rsidP="00792854">
      <w:pPr>
        <w:pStyle w:val="ListParagraph"/>
        <w:numPr>
          <w:ilvl w:val="0"/>
          <w:numId w:val="6"/>
        </w:numPr>
        <w:spacing w:after="120" w:line="276" w:lineRule="auto"/>
        <w:ind w:left="714" w:hanging="357"/>
        <w:contextualSpacing w:val="0"/>
        <w:jc w:val="both"/>
        <w:rPr>
          <w:rFonts w:ascii="Times New Roman" w:hAnsi="Times New Roman"/>
        </w:rPr>
      </w:pPr>
      <w:r>
        <w:rPr>
          <w:rFonts w:ascii="Times New Roman" w:hAnsi="Times New Roman"/>
        </w:rPr>
        <w:t>What is the standard of review for the decision-making authority of the GIC?</w:t>
      </w:r>
    </w:p>
    <w:p w14:paraId="5B38186C" w14:textId="77777777" w:rsidR="00792854" w:rsidRDefault="00792854" w:rsidP="00792854">
      <w:pPr>
        <w:pStyle w:val="ListParagraph"/>
        <w:numPr>
          <w:ilvl w:val="0"/>
          <w:numId w:val="6"/>
        </w:numPr>
        <w:spacing w:after="120" w:line="276" w:lineRule="auto"/>
        <w:ind w:left="714" w:hanging="357"/>
        <w:contextualSpacing w:val="0"/>
        <w:jc w:val="both"/>
        <w:rPr>
          <w:rFonts w:ascii="Times New Roman" w:hAnsi="Times New Roman"/>
        </w:rPr>
      </w:pPr>
      <w:r>
        <w:rPr>
          <w:rFonts w:ascii="Times New Roman" w:hAnsi="Times New Roman"/>
        </w:rPr>
        <w:t>Does the GIC have the jurisdiction to determine whether Treaty rights will be unjustifiably infringed?</w:t>
      </w:r>
    </w:p>
    <w:p w14:paraId="120DC892" w14:textId="77777777" w:rsidR="00792854" w:rsidRDefault="00792854" w:rsidP="00792854">
      <w:pPr>
        <w:pStyle w:val="ListParagraph"/>
        <w:numPr>
          <w:ilvl w:val="0"/>
          <w:numId w:val="6"/>
        </w:numPr>
        <w:spacing w:line="276" w:lineRule="auto"/>
        <w:ind w:left="714" w:hanging="357"/>
        <w:contextualSpacing w:val="0"/>
        <w:jc w:val="both"/>
        <w:rPr>
          <w:rFonts w:ascii="Times New Roman" w:hAnsi="Times New Roman"/>
        </w:rPr>
      </w:pPr>
      <w:r>
        <w:rPr>
          <w:rFonts w:ascii="Times New Roman" w:hAnsi="Times New Roman"/>
        </w:rPr>
        <w:t>Is judicial review the appropriate forum to determine Treaty rights?</w:t>
      </w:r>
    </w:p>
    <w:p w14:paraId="35D43AA4" w14:textId="77777777" w:rsidR="00792854" w:rsidRDefault="00792854" w:rsidP="00792854">
      <w:pPr>
        <w:spacing w:line="276" w:lineRule="auto"/>
        <w:rPr>
          <w:rFonts w:ascii="Times New Roman" w:hAnsi="Times New Roman"/>
        </w:rPr>
      </w:pPr>
    </w:p>
    <w:p w14:paraId="29DA88DC" w14:textId="77777777" w:rsidR="00792854" w:rsidRPr="00965366" w:rsidRDefault="00792854" w:rsidP="00792854">
      <w:pPr>
        <w:rPr>
          <w:rFonts w:ascii="Times New Roman" w:hAnsi="Times New Roman"/>
          <w:b/>
        </w:rPr>
      </w:pPr>
      <w:r>
        <w:rPr>
          <w:rFonts w:ascii="Times New Roman" w:hAnsi="Times New Roman"/>
          <w:b/>
        </w:rPr>
        <w:t xml:space="preserve">The </w:t>
      </w:r>
      <w:r w:rsidRPr="00965366">
        <w:rPr>
          <w:rFonts w:ascii="Times New Roman" w:hAnsi="Times New Roman"/>
          <w:b/>
        </w:rPr>
        <w:t>Federal Court of Appeal Decision</w:t>
      </w:r>
    </w:p>
    <w:p w14:paraId="3FC12D40" w14:textId="77777777" w:rsidR="00792854" w:rsidRDefault="00792854" w:rsidP="00792854">
      <w:pPr>
        <w:rPr>
          <w:rFonts w:ascii="Times New Roman" w:hAnsi="Times New Roman"/>
        </w:rPr>
      </w:pPr>
    </w:p>
    <w:p w14:paraId="70F1B51B" w14:textId="77777777" w:rsidR="00792854" w:rsidRPr="00965366" w:rsidRDefault="00792854" w:rsidP="00792854">
      <w:pPr>
        <w:spacing w:line="276" w:lineRule="auto"/>
        <w:rPr>
          <w:rFonts w:ascii="Times New Roman" w:eastAsia="Times New Roman" w:hAnsi="Times New Roman"/>
          <w:b/>
          <w:i/>
        </w:rPr>
      </w:pPr>
      <w:r w:rsidRPr="00965366">
        <w:rPr>
          <w:rFonts w:ascii="Times New Roman" w:eastAsia="Times New Roman" w:hAnsi="Times New Roman"/>
          <w:b/>
          <w:i/>
        </w:rPr>
        <w:t>The Standard of Reasonableness Applies to Subsection 52(4)</w:t>
      </w:r>
    </w:p>
    <w:p w14:paraId="03BDCA3E" w14:textId="77777777" w:rsidR="00792854" w:rsidRDefault="00792854" w:rsidP="00792854">
      <w:pPr>
        <w:spacing w:line="276" w:lineRule="auto"/>
        <w:jc w:val="both"/>
        <w:rPr>
          <w:rFonts w:ascii="Times New Roman" w:eastAsia="Times New Roman" w:hAnsi="Times New Roman"/>
        </w:rPr>
      </w:pPr>
      <w:proofErr w:type="spellStart"/>
      <w:r>
        <w:rPr>
          <w:rFonts w:ascii="Times New Roman" w:eastAsia="Times New Roman" w:hAnsi="Times New Roman"/>
        </w:rPr>
        <w:t>Boivin</w:t>
      </w:r>
      <w:proofErr w:type="spellEnd"/>
      <w:r>
        <w:rPr>
          <w:rFonts w:ascii="Times New Roman" w:eastAsia="Times New Roman" w:hAnsi="Times New Roman"/>
        </w:rPr>
        <w:t xml:space="preserve"> J.A., for the Federal Court of Appeal, held that the Trial Judge applied the proper standard of review. The standard of correctness applied to matters of procedural fairness and questions of whether there was a duty to consult, and the standard of reasonableness applied to the decision-making authority of the GIC.</w:t>
      </w:r>
      <w:r>
        <w:rPr>
          <w:rStyle w:val="FootnoteReference"/>
          <w:rFonts w:ascii="Times New Roman" w:eastAsia="Times New Roman" w:hAnsi="Times New Roman"/>
        </w:rPr>
        <w:footnoteReference w:id="6"/>
      </w:r>
    </w:p>
    <w:p w14:paraId="230462B3" w14:textId="77777777" w:rsidR="00792854" w:rsidRDefault="00792854" w:rsidP="00792854">
      <w:pPr>
        <w:spacing w:line="276" w:lineRule="auto"/>
        <w:jc w:val="both"/>
        <w:rPr>
          <w:rFonts w:ascii="Times New Roman" w:eastAsia="Times New Roman" w:hAnsi="Times New Roman"/>
        </w:rPr>
      </w:pPr>
    </w:p>
    <w:p w14:paraId="7A4B2D03" w14:textId="77777777" w:rsidR="00792854" w:rsidRDefault="00792854" w:rsidP="00792854">
      <w:pPr>
        <w:spacing w:line="276" w:lineRule="auto"/>
        <w:jc w:val="both"/>
        <w:rPr>
          <w:rFonts w:ascii="Times New Roman" w:eastAsia="Times New Roman" w:hAnsi="Times New Roman"/>
        </w:rPr>
      </w:pPr>
      <w:r>
        <w:rPr>
          <w:rFonts w:ascii="Times New Roman" w:eastAsia="Times New Roman" w:hAnsi="Times New Roman"/>
        </w:rPr>
        <w:t>The First Nations took the position that the standard of correctness should have applied to the GIC decision since the question of whether their Treaty rights were unjustifiably infringed concerned constitutional obligations and jurisdictional limits.</w:t>
      </w:r>
      <w:r>
        <w:rPr>
          <w:rStyle w:val="FootnoteReference"/>
          <w:rFonts w:ascii="Times New Roman" w:eastAsia="Times New Roman" w:hAnsi="Times New Roman"/>
        </w:rPr>
        <w:footnoteReference w:id="7"/>
      </w:r>
      <w:r>
        <w:rPr>
          <w:rFonts w:ascii="Times New Roman" w:eastAsia="Times New Roman" w:hAnsi="Times New Roman"/>
        </w:rPr>
        <w:t xml:space="preserve"> </w:t>
      </w:r>
    </w:p>
    <w:p w14:paraId="310AD0F0" w14:textId="77777777" w:rsidR="00792854" w:rsidRDefault="00792854" w:rsidP="00792854">
      <w:pPr>
        <w:spacing w:line="276" w:lineRule="auto"/>
        <w:jc w:val="both"/>
        <w:rPr>
          <w:rFonts w:ascii="Times New Roman" w:eastAsia="Times New Roman" w:hAnsi="Times New Roman"/>
        </w:rPr>
      </w:pPr>
    </w:p>
    <w:p w14:paraId="06FE62FA" w14:textId="77777777" w:rsidR="00792854" w:rsidRDefault="00792854" w:rsidP="00792854">
      <w:pPr>
        <w:spacing w:line="276" w:lineRule="auto"/>
        <w:jc w:val="both"/>
        <w:rPr>
          <w:rFonts w:ascii="Times New Roman" w:eastAsia="Times New Roman" w:hAnsi="Times New Roman"/>
        </w:rPr>
      </w:pPr>
      <w:r>
        <w:rPr>
          <w:rFonts w:ascii="Times New Roman" w:eastAsia="Times New Roman" w:hAnsi="Times New Roman"/>
        </w:rPr>
        <w:t xml:space="preserve">However, </w:t>
      </w:r>
      <w:proofErr w:type="spellStart"/>
      <w:r>
        <w:rPr>
          <w:rFonts w:ascii="Times New Roman" w:eastAsia="Times New Roman" w:hAnsi="Times New Roman"/>
        </w:rPr>
        <w:t>Boivin</w:t>
      </w:r>
      <w:proofErr w:type="spellEnd"/>
      <w:r>
        <w:rPr>
          <w:rFonts w:ascii="Times New Roman" w:eastAsia="Times New Roman" w:hAnsi="Times New Roman"/>
        </w:rPr>
        <w:t xml:space="preserve"> J.A. ruled that the GIC decision-making authority under subsection 52(4) of the </w:t>
      </w:r>
      <w:r>
        <w:rPr>
          <w:rFonts w:ascii="Times New Roman" w:eastAsia="Times New Roman" w:hAnsi="Times New Roman"/>
          <w:i/>
        </w:rPr>
        <w:t>CEAA 2012</w:t>
      </w:r>
      <w:r>
        <w:rPr>
          <w:rFonts w:ascii="Times New Roman" w:eastAsia="Times New Roman" w:hAnsi="Times New Roman"/>
        </w:rPr>
        <w:t xml:space="preserve"> was highly discretionary and fact driven as it flowed from a process of consultation and accommodation.</w:t>
      </w:r>
      <w:r>
        <w:rPr>
          <w:rStyle w:val="FootnoteReference"/>
          <w:rFonts w:ascii="Times New Roman" w:eastAsia="Times New Roman" w:hAnsi="Times New Roman"/>
        </w:rPr>
        <w:footnoteReference w:id="8"/>
      </w:r>
      <w:r>
        <w:rPr>
          <w:rFonts w:ascii="Times New Roman" w:eastAsia="Times New Roman" w:hAnsi="Times New Roman"/>
        </w:rPr>
        <w:t xml:space="preserve"> As a result, the GIC decision was highly discretionary and fact driven. The </w:t>
      </w:r>
      <w:r>
        <w:rPr>
          <w:rFonts w:ascii="Times New Roman" w:eastAsia="Times New Roman" w:hAnsi="Times New Roman"/>
        </w:rPr>
        <w:lastRenderedPageBreak/>
        <w:t xml:space="preserve">role of the Courts in this process is to ensure that the GIC decision-making authority is exercised in a reasonable manner and within the framework of the </w:t>
      </w:r>
      <w:r w:rsidRPr="001F31D7">
        <w:rPr>
          <w:rFonts w:ascii="Times New Roman" w:eastAsia="Times New Roman" w:hAnsi="Times New Roman"/>
          <w:i/>
        </w:rPr>
        <w:t>CEAA 2012</w:t>
      </w:r>
      <w:r>
        <w:rPr>
          <w:rFonts w:ascii="Times New Roman" w:eastAsia="Times New Roman" w:hAnsi="Times New Roman"/>
        </w:rPr>
        <w:t>.</w:t>
      </w:r>
      <w:r>
        <w:rPr>
          <w:rStyle w:val="FootnoteReference"/>
          <w:rFonts w:ascii="Times New Roman" w:eastAsia="Times New Roman" w:hAnsi="Times New Roman"/>
        </w:rPr>
        <w:footnoteReference w:id="9"/>
      </w:r>
    </w:p>
    <w:p w14:paraId="6827D7DA" w14:textId="77777777" w:rsidR="00792854" w:rsidRDefault="00792854" w:rsidP="00792854">
      <w:pPr>
        <w:spacing w:line="276" w:lineRule="auto"/>
        <w:jc w:val="both"/>
        <w:rPr>
          <w:rFonts w:ascii="Times New Roman" w:eastAsia="Times New Roman" w:hAnsi="Times New Roman"/>
        </w:rPr>
      </w:pPr>
    </w:p>
    <w:p w14:paraId="5B90A787" w14:textId="77777777" w:rsidR="00792854" w:rsidRDefault="00792854" w:rsidP="00792854">
      <w:pPr>
        <w:spacing w:line="276" w:lineRule="auto"/>
        <w:jc w:val="both"/>
        <w:rPr>
          <w:rFonts w:ascii="Times New Roman" w:eastAsia="Times New Roman" w:hAnsi="Times New Roman"/>
        </w:rPr>
      </w:pPr>
      <w:proofErr w:type="spellStart"/>
      <w:r>
        <w:rPr>
          <w:rFonts w:ascii="Times New Roman" w:eastAsia="Times New Roman" w:hAnsi="Times New Roman"/>
        </w:rPr>
        <w:t>Boivin</w:t>
      </w:r>
      <w:proofErr w:type="spellEnd"/>
      <w:r>
        <w:rPr>
          <w:rFonts w:ascii="Times New Roman" w:eastAsia="Times New Roman" w:hAnsi="Times New Roman"/>
        </w:rPr>
        <w:t xml:space="preserve"> J.A. spoke of the reciprocal obligations owed by the Crown and First Nations during consultations. This includes the First Nation obligation to provide evidence to support their Treaty rights.</w:t>
      </w:r>
      <w:r>
        <w:rPr>
          <w:rStyle w:val="FootnoteReference"/>
          <w:rFonts w:ascii="Times New Roman" w:eastAsia="Times New Roman" w:hAnsi="Times New Roman"/>
        </w:rPr>
        <w:footnoteReference w:id="10"/>
      </w:r>
      <w:r>
        <w:rPr>
          <w:rFonts w:ascii="Times New Roman" w:eastAsia="Times New Roman" w:hAnsi="Times New Roman"/>
        </w:rPr>
        <w:t xml:space="preserve"> While it was uncontested that the First Nations have Treaty rights to the 840,000 square kilometers of land covered by Treaty 8, there was insufficient evidence to demonstrate that the First Nations exercised their Treaty rights near the Site C Project.</w:t>
      </w:r>
      <w:r>
        <w:rPr>
          <w:rStyle w:val="FootnoteReference"/>
          <w:rFonts w:ascii="Times New Roman" w:eastAsia="Times New Roman" w:hAnsi="Times New Roman"/>
        </w:rPr>
        <w:footnoteReference w:id="11"/>
      </w:r>
    </w:p>
    <w:p w14:paraId="5777BE02" w14:textId="77777777" w:rsidR="00792854" w:rsidRDefault="00792854" w:rsidP="00792854">
      <w:pPr>
        <w:spacing w:line="276" w:lineRule="auto"/>
        <w:jc w:val="both"/>
        <w:rPr>
          <w:rFonts w:ascii="Times New Roman" w:eastAsia="Times New Roman" w:hAnsi="Times New Roman"/>
        </w:rPr>
      </w:pPr>
    </w:p>
    <w:p w14:paraId="27C13602" w14:textId="77777777" w:rsidR="00792854" w:rsidRDefault="00792854" w:rsidP="00792854">
      <w:pPr>
        <w:spacing w:line="276" w:lineRule="auto"/>
        <w:jc w:val="both"/>
        <w:rPr>
          <w:rFonts w:ascii="Times New Roman" w:eastAsia="Times New Roman" w:hAnsi="Times New Roman"/>
        </w:rPr>
      </w:pPr>
      <w:r w:rsidRPr="00BF0A7B">
        <w:rPr>
          <w:rFonts w:ascii="Times New Roman" w:eastAsia="Times New Roman" w:hAnsi="Times New Roman"/>
        </w:rPr>
        <w:t xml:space="preserve">In light of the fact that the First Nations </w:t>
      </w:r>
      <w:r>
        <w:rPr>
          <w:rFonts w:ascii="Times New Roman" w:eastAsia="Times New Roman" w:hAnsi="Times New Roman"/>
        </w:rPr>
        <w:t xml:space="preserve">had insufficient evidence to support their Treaty rights, and </w:t>
      </w:r>
      <w:r w:rsidRPr="00BF0A7B">
        <w:rPr>
          <w:rFonts w:ascii="Times New Roman" w:eastAsia="Times New Roman" w:hAnsi="Times New Roman"/>
        </w:rPr>
        <w:t xml:space="preserve">did not challenge the adequacy of the consultations, </w:t>
      </w:r>
      <w:proofErr w:type="spellStart"/>
      <w:r w:rsidRPr="00BF0A7B">
        <w:rPr>
          <w:rFonts w:ascii="Times New Roman" w:eastAsia="Times New Roman" w:hAnsi="Times New Roman"/>
        </w:rPr>
        <w:t>Boivin</w:t>
      </w:r>
      <w:proofErr w:type="spellEnd"/>
      <w:r w:rsidRPr="00BF0A7B">
        <w:rPr>
          <w:rFonts w:ascii="Times New Roman" w:eastAsia="Times New Roman" w:hAnsi="Times New Roman"/>
        </w:rPr>
        <w:t>. J.A. held that the GIC decision was reasonable.</w:t>
      </w:r>
      <w:r w:rsidRPr="00BF0A7B">
        <w:rPr>
          <w:rStyle w:val="FootnoteReference"/>
          <w:rFonts w:ascii="Times New Roman" w:eastAsia="Times New Roman" w:hAnsi="Times New Roman"/>
        </w:rPr>
        <w:footnoteReference w:id="12"/>
      </w:r>
      <w:r>
        <w:rPr>
          <w:rFonts w:ascii="Times New Roman" w:eastAsia="Times New Roman" w:hAnsi="Times New Roman"/>
        </w:rPr>
        <w:t xml:space="preserve"> </w:t>
      </w:r>
    </w:p>
    <w:p w14:paraId="3A41B80E" w14:textId="77777777" w:rsidR="00792854" w:rsidRPr="00E55371" w:rsidRDefault="00792854" w:rsidP="00792854">
      <w:pPr>
        <w:spacing w:line="276" w:lineRule="auto"/>
        <w:rPr>
          <w:rFonts w:ascii="Times New Roman" w:eastAsia="Times New Roman" w:hAnsi="Times New Roman"/>
        </w:rPr>
      </w:pPr>
    </w:p>
    <w:p w14:paraId="063EB5F3" w14:textId="77777777" w:rsidR="00792854" w:rsidRPr="00965366" w:rsidRDefault="00792854" w:rsidP="00792854">
      <w:pPr>
        <w:spacing w:line="276" w:lineRule="auto"/>
        <w:rPr>
          <w:rFonts w:ascii="Times New Roman" w:eastAsia="Times New Roman" w:hAnsi="Times New Roman"/>
          <w:b/>
          <w:i/>
        </w:rPr>
      </w:pPr>
      <w:r w:rsidRPr="00965366">
        <w:rPr>
          <w:rFonts w:ascii="Times New Roman" w:eastAsia="Times New Roman" w:hAnsi="Times New Roman"/>
          <w:b/>
          <w:i/>
        </w:rPr>
        <w:t>The GIC Does Not Have Jurisdiction to Determine Treaty Rights</w:t>
      </w:r>
    </w:p>
    <w:p w14:paraId="2ED6DBFB" w14:textId="77777777" w:rsidR="00792854" w:rsidRPr="008A5B73" w:rsidRDefault="00792854" w:rsidP="00792854">
      <w:pPr>
        <w:spacing w:line="276" w:lineRule="auto"/>
        <w:jc w:val="both"/>
        <w:rPr>
          <w:rFonts w:ascii="Times New Roman" w:eastAsia="Times New Roman" w:hAnsi="Times New Roman"/>
        </w:rPr>
      </w:pPr>
      <w:r>
        <w:rPr>
          <w:rFonts w:ascii="Times New Roman" w:eastAsia="Times New Roman" w:hAnsi="Times New Roman"/>
        </w:rPr>
        <w:t xml:space="preserve">The First Nations took the position that subsection 52(4) of the </w:t>
      </w:r>
      <w:r>
        <w:rPr>
          <w:rFonts w:ascii="Times New Roman" w:eastAsia="Times New Roman" w:hAnsi="Times New Roman"/>
          <w:i/>
        </w:rPr>
        <w:t>CEAA 2012</w:t>
      </w:r>
      <w:r>
        <w:rPr>
          <w:rFonts w:ascii="Times New Roman" w:eastAsia="Times New Roman" w:hAnsi="Times New Roman"/>
        </w:rPr>
        <w:t xml:space="preserve"> did not prevent the GIC from determining whether their Treaty rights would be infringed pursuant to the </w:t>
      </w:r>
      <w:r>
        <w:rPr>
          <w:rFonts w:ascii="Times New Roman" w:eastAsia="Times New Roman" w:hAnsi="Times New Roman"/>
          <w:i/>
        </w:rPr>
        <w:t>Sparrow</w:t>
      </w:r>
      <w:r>
        <w:rPr>
          <w:rFonts w:ascii="Times New Roman" w:eastAsia="Times New Roman" w:hAnsi="Times New Roman"/>
        </w:rPr>
        <w:t xml:space="preserve"> analysis.</w:t>
      </w:r>
      <w:r>
        <w:rPr>
          <w:rStyle w:val="FootnoteReference"/>
          <w:rFonts w:ascii="Times New Roman" w:eastAsia="Times New Roman" w:hAnsi="Times New Roman"/>
        </w:rPr>
        <w:footnoteReference w:id="13"/>
      </w:r>
    </w:p>
    <w:p w14:paraId="03C20893" w14:textId="77777777" w:rsidR="00792854" w:rsidRDefault="00792854" w:rsidP="00792854">
      <w:pPr>
        <w:spacing w:line="276" w:lineRule="auto"/>
        <w:jc w:val="both"/>
        <w:rPr>
          <w:rFonts w:ascii="Times New Roman" w:eastAsia="Times New Roman" w:hAnsi="Times New Roman"/>
        </w:rPr>
      </w:pPr>
    </w:p>
    <w:p w14:paraId="45CFA174" w14:textId="77777777" w:rsidR="00792854" w:rsidRPr="001F31D7" w:rsidRDefault="00792854" w:rsidP="00792854">
      <w:pPr>
        <w:spacing w:line="276" w:lineRule="auto"/>
        <w:jc w:val="both"/>
        <w:rPr>
          <w:rFonts w:ascii="Times New Roman" w:eastAsia="Times New Roman" w:hAnsi="Times New Roman"/>
        </w:rPr>
      </w:pPr>
      <w:proofErr w:type="spellStart"/>
      <w:r>
        <w:rPr>
          <w:rFonts w:ascii="Times New Roman" w:eastAsia="Times New Roman" w:hAnsi="Times New Roman"/>
        </w:rPr>
        <w:t>Boivin</w:t>
      </w:r>
      <w:proofErr w:type="spellEnd"/>
      <w:r>
        <w:rPr>
          <w:rFonts w:ascii="Times New Roman" w:eastAsia="Times New Roman" w:hAnsi="Times New Roman"/>
        </w:rPr>
        <w:t xml:space="preserve"> J.A. did not agree with the First Nations position. He remarked that within the legislative framework of the </w:t>
      </w:r>
      <w:r>
        <w:rPr>
          <w:rFonts w:ascii="Times New Roman" w:eastAsia="Times New Roman" w:hAnsi="Times New Roman"/>
          <w:i/>
        </w:rPr>
        <w:t>CEAA 2012</w:t>
      </w:r>
      <w:r>
        <w:rPr>
          <w:rFonts w:ascii="Times New Roman" w:eastAsia="Times New Roman" w:hAnsi="Times New Roman"/>
        </w:rPr>
        <w:t xml:space="preserve">, the GIC does not have the express power to determine questions of law, such as whether First Nation rights are infringed pursuant to the </w:t>
      </w:r>
      <w:r>
        <w:rPr>
          <w:rFonts w:ascii="Times New Roman" w:eastAsia="Times New Roman" w:hAnsi="Times New Roman"/>
          <w:i/>
        </w:rPr>
        <w:t xml:space="preserve">Sparrow </w:t>
      </w:r>
      <w:r>
        <w:rPr>
          <w:rFonts w:ascii="Times New Roman" w:eastAsia="Times New Roman" w:hAnsi="Times New Roman"/>
        </w:rPr>
        <w:t>analysis.</w:t>
      </w:r>
      <w:r>
        <w:rPr>
          <w:rStyle w:val="FootnoteReference"/>
          <w:rFonts w:ascii="Times New Roman" w:eastAsia="Times New Roman" w:hAnsi="Times New Roman"/>
        </w:rPr>
        <w:footnoteReference w:id="14"/>
      </w:r>
    </w:p>
    <w:p w14:paraId="4971C5DE" w14:textId="77777777" w:rsidR="00792854" w:rsidRDefault="00792854" w:rsidP="00792854">
      <w:pPr>
        <w:spacing w:line="276" w:lineRule="auto"/>
        <w:jc w:val="both"/>
        <w:rPr>
          <w:rFonts w:ascii="Times New Roman" w:eastAsia="Times New Roman" w:hAnsi="Times New Roman"/>
        </w:rPr>
      </w:pPr>
    </w:p>
    <w:p w14:paraId="2CC0B09D" w14:textId="77777777" w:rsidR="00792854" w:rsidRDefault="00792854" w:rsidP="00792854">
      <w:pPr>
        <w:spacing w:line="276" w:lineRule="auto"/>
        <w:jc w:val="both"/>
        <w:rPr>
          <w:rFonts w:ascii="Times New Roman" w:eastAsia="Times New Roman" w:hAnsi="Times New Roman"/>
        </w:rPr>
      </w:pPr>
      <w:proofErr w:type="spellStart"/>
      <w:r>
        <w:rPr>
          <w:rFonts w:ascii="Times New Roman" w:eastAsia="Times New Roman" w:hAnsi="Times New Roman"/>
        </w:rPr>
        <w:t>Boivin</w:t>
      </w:r>
      <w:proofErr w:type="spellEnd"/>
      <w:r>
        <w:rPr>
          <w:rFonts w:ascii="Times New Roman" w:eastAsia="Times New Roman" w:hAnsi="Times New Roman"/>
        </w:rPr>
        <w:t xml:space="preserve"> J.A. was also not persuaded by the First Nations position that the Courts should apply the</w:t>
      </w:r>
      <w:r>
        <w:rPr>
          <w:rFonts w:ascii="Times New Roman" w:eastAsia="Times New Roman" w:hAnsi="Times New Roman"/>
          <w:i/>
        </w:rPr>
        <w:t xml:space="preserve"> </w:t>
      </w:r>
      <w:r>
        <w:rPr>
          <w:rFonts w:ascii="Times New Roman" w:eastAsia="Times New Roman" w:hAnsi="Times New Roman"/>
        </w:rPr>
        <w:t xml:space="preserve">unjustified infringement analysis described in </w:t>
      </w:r>
      <w:r>
        <w:rPr>
          <w:rFonts w:ascii="Times New Roman" w:eastAsia="Times New Roman" w:hAnsi="Times New Roman"/>
          <w:i/>
        </w:rPr>
        <w:t>Sparrow</w:t>
      </w:r>
      <w:r>
        <w:rPr>
          <w:rFonts w:ascii="Times New Roman" w:eastAsia="Times New Roman" w:hAnsi="Times New Roman"/>
        </w:rPr>
        <w:t xml:space="preserve">. The Supreme Court of Canada moved away from the </w:t>
      </w:r>
      <w:r w:rsidRPr="00CD521B">
        <w:rPr>
          <w:rFonts w:ascii="Times New Roman" w:eastAsia="Times New Roman" w:hAnsi="Times New Roman"/>
        </w:rPr>
        <w:t>unjustified</w:t>
      </w:r>
      <w:r>
        <w:rPr>
          <w:rFonts w:ascii="Times New Roman" w:eastAsia="Times New Roman" w:hAnsi="Times New Roman"/>
        </w:rPr>
        <w:t xml:space="preserve"> infringement analysis</w:t>
      </w:r>
      <w:r w:rsidRPr="008605BC">
        <w:rPr>
          <w:rFonts w:ascii="Times New Roman" w:eastAsia="Times New Roman" w:hAnsi="Times New Roman"/>
        </w:rPr>
        <w:t>, and towards</w:t>
      </w:r>
      <w:r>
        <w:rPr>
          <w:rFonts w:ascii="Times New Roman" w:eastAsia="Times New Roman" w:hAnsi="Times New Roman"/>
        </w:rPr>
        <w:t xml:space="preserve"> the consultation and accommodation analysis described in</w:t>
      </w:r>
      <w:r w:rsidRPr="008605BC">
        <w:rPr>
          <w:rFonts w:ascii="Times New Roman" w:eastAsia="Times New Roman" w:hAnsi="Times New Roman"/>
        </w:rPr>
        <w:t xml:space="preserve"> </w:t>
      </w:r>
      <w:proofErr w:type="spellStart"/>
      <w:r w:rsidRPr="008605BC">
        <w:rPr>
          <w:rFonts w:ascii="Times New Roman" w:eastAsia="Times New Roman" w:hAnsi="Times New Roman"/>
          <w:i/>
        </w:rPr>
        <w:t>Haida</w:t>
      </w:r>
      <w:proofErr w:type="spellEnd"/>
      <w:r w:rsidRPr="008605BC">
        <w:rPr>
          <w:rFonts w:ascii="Times New Roman" w:eastAsia="Times New Roman" w:hAnsi="Times New Roman"/>
          <w:i/>
        </w:rPr>
        <w:t xml:space="preserve"> Nation</w:t>
      </w:r>
      <w:r>
        <w:rPr>
          <w:rFonts w:ascii="Times New Roman" w:eastAsia="Times New Roman" w:hAnsi="Times New Roman"/>
        </w:rPr>
        <w:t xml:space="preserve"> and </w:t>
      </w:r>
      <w:proofErr w:type="spellStart"/>
      <w:r w:rsidRPr="008605BC">
        <w:rPr>
          <w:rFonts w:ascii="Times New Roman" w:eastAsia="Times New Roman" w:hAnsi="Times New Roman"/>
          <w:i/>
        </w:rPr>
        <w:t>Taku</w:t>
      </w:r>
      <w:proofErr w:type="spellEnd"/>
      <w:r w:rsidRPr="008605BC">
        <w:rPr>
          <w:rFonts w:ascii="Times New Roman" w:eastAsia="Times New Roman" w:hAnsi="Times New Roman"/>
          <w:i/>
        </w:rPr>
        <w:t xml:space="preserve"> River</w:t>
      </w:r>
      <w:r>
        <w:rPr>
          <w:rFonts w:ascii="Times New Roman" w:eastAsia="Times New Roman" w:hAnsi="Times New Roman"/>
        </w:rPr>
        <w:t>.</w:t>
      </w:r>
      <w:r>
        <w:rPr>
          <w:rStyle w:val="FootnoteReference"/>
          <w:rFonts w:ascii="Times New Roman" w:eastAsia="Times New Roman" w:hAnsi="Times New Roman"/>
        </w:rPr>
        <w:footnoteReference w:id="15"/>
      </w:r>
      <w:r>
        <w:rPr>
          <w:rFonts w:ascii="Times New Roman" w:eastAsia="Times New Roman" w:hAnsi="Times New Roman"/>
        </w:rPr>
        <w:t xml:space="preserve"> </w:t>
      </w:r>
      <w:proofErr w:type="spellStart"/>
      <w:r>
        <w:rPr>
          <w:rFonts w:ascii="Times New Roman" w:eastAsia="Times New Roman" w:hAnsi="Times New Roman"/>
        </w:rPr>
        <w:t>Boivin</w:t>
      </w:r>
      <w:proofErr w:type="spellEnd"/>
      <w:r>
        <w:rPr>
          <w:rFonts w:ascii="Times New Roman" w:eastAsia="Times New Roman" w:hAnsi="Times New Roman"/>
        </w:rPr>
        <w:t xml:space="preserve"> J.A. saw no justification to revert to the </w:t>
      </w:r>
      <w:r w:rsidRPr="00CD521B">
        <w:rPr>
          <w:rFonts w:ascii="Times New Roman" w:eastAsia="Times New Roman" w:hAnsi="Times New Roman"/>
          <w:i/>
        </w:rPr>
        <w:t>Sparrow</w:t>
      </w:r>
      <w:r>
        <w:rPr>
          <w:rFonts w:ascii="Times New Roman" w:eastAsia="Times New Roman" w:hAnsi="Times New Roman"/>
        </w:rPr>
        <w:t xml:space="preserve"> test, since the consultation and accommodation analysis sought to resolve the complex and litigious nature of the unjustified infringement analysis.</w:t>
      </w:r>
      <w:r>
        <w:rPr>
          <w:rStyle w:val="FootnoteReference"/>
          <w:rFonts w:ascii="Times New Roman" w:eastAsia="Times New Roman" w:hAnsi="Times New Roman"/>
        </w:rPr>
        <w:footnoteReference w:id="16"/>
      </w:r>
    </w:p>
    <w:p w14:paraId="1010D362" w14:textId="77777777" w:rsidR="00792854" w:rsidRDefault="00792854" w:rsidP="00792854">
      <w:pPr>
        <w:spacing w:line="276" w:lineRule="auto"/>
        <w:rPr>
          <w:rFonts w:ascii="Times New Roman" w:eastAsia="Times New Roman" w:hAnsi="Times New Roman"/>
        </w:rPr>
      </w:pPr>
    </w:p>
    <w:p w14:paraId="708A0415" w14:textId="77777777" w:rsidR="00792854" w:rsidRPr="00965366" w:rsidRDefault="00792854" w:rsidP="00792854">
      <w:pPr>
        <w:spacing w:line="276" w:lineRule="auto"/>
        <w:rPr>
          <w:rFonts w:ascii="Times New Roman" w:eastAsia="Times New Roman" w:hAnsi="Times New Roman"/>
          <w:b/>
          <w:i/>
        </w:rPr>
      </w:pPr>
      <w:r w:rsidRPr="00965366">
        <w:rPr>
          <w:rFonts w:ascii="Times New Roman" w:eastAsia="Times New Roman" w:hAnsi="Times New Roman"/>
          <w:b/>
          <w:i/>
        </w:rPr>
        <w:t>Judicial Review Is Not the Proper Forum to Determine Treaty Rights</w:t>
      </w:r>
    </w:p>
    <w:p w14:paraId="79CB7D48" w14:textId="77777777" w:rsidR="00792854" w:rsidRDefault="00792854" w:rsidP="00792854">
      <w:pPr>
        <w:spacing w:line="276" w:lineRule="auto"/>
        <w:jc w:val="both"/>
        <w:rPr>
          <w:rFonts w:ascii="Times New Roman" w:eastAsia="Times New Roman" w:hAnsi="Times New Roman"/>
        </w:rPr>
      </w:pPr>
      <w:r>
        <w:rPr>
          <w:rFonts w:ascii="Times New Roman" w:eastAsia="Times New Roman" w:hAnsi="Times New Roman"/>
        </w:rPr>
        <w:t xml:space="preserve">Lastly, </w:t>
      </w:r>
      <w:proofErr w:type="spellStart"/>
      <w:r>
        <w:rPr>
          <w:rFonts w:ascii="Times New Roman" w:eastAsia="Times New Roman" w:hAnsi="Times New Roman"/>
        </w:rPr>
        <w:t>Boivin</w:t>
      </w:r>
      <w:proofErr w:type="spellEnd"/>
      <w:r>
        <w:rPr>
          <w:rFonts w:ascii="Times New Roman" w:eastAsia="Times New Roman" w:hAnsi="Times New Roman"/>
        </w:rPr>
        <w:t xml:space="preserve"> J.A. ruled that judicial review is not the proper forum to determine Treaty rights. The only evidence before a Court on judicial review are the materials that were available to the decision-maker at the time the decision was made.</w:t>
      </w:r>
      <w:r>
        <w:rPr>
          <w:rStyle w:val="FootnoteReference"/>
          <w:rFonts w:ascii="Times New Roman" w:eastAsia="Times New Roman" w:hAnsi="Times New Roman"/>
        </w:rPr>
        <w:footnoteReference w:id="17"/>
      </w:r>
      <w:r>
        <w:rPr>
          <w:rFonts w:ascii="Times New Roman" w:eastAsia="Times New Roman" w:hAnsi="Times New Roman"/>
        </w:rPr>
        <w:t xml:space="preserve"> Yet in order to determine the existence of a Treaty right, additional evidence is required such as a full discovery, oral history, and a wide range of expert reports.</w:t>
      </w:r>
      <w:r>
        <w:rPr>
          <w:rStyle w:val="FootnoteReference"/>
          <w:rFonts w:ascii="Times New Roman" w:eastAsia="Times New Roman" w:hAnsi="Times New Roman"/>
        </w:rPr>
        <w:footnoteReference w:id="18"/>
      </w:r>
      <w:r>
        <w:rPr>
          <w:rFonts w:ascii="Times New Roman" w:eastAsia="Times New Roman" w:hAnsi="Times New Roman"/>
        </w:rPr>
        <w:t xml:space="preserve"> This type of evidence is not generally available on judicial review.</w:t>
      </w:r>
    </w:p>
    <w:p w14:paraId="0E92237A" w14:textId="77777777" w:rsidR="00792854" w:rsidRDefault="00792854" w:rsidP="00792854">
      <w:pPr>
        <w:spacing w:line="276" w:lineRule="auto"/>
        <w:jc w:val="both"/>
        <w:rPr>
          <w:rFonts w:ascii="Times New Roman" w:eastAsia="Times New Roman" w:hAnsi="Times New Roman"/>
        </w:rPr>
      </w:pPr>
    </w:p>
    <w:p w14:paraId="1767BD97" w14:textId="77777777" w:rsidR="00792854" w:rsidRDefault="00792854" w:rsidP="00792854">
      <w:pPr>
        <w:spacing w:line="276" w:lineRule="auto"/>
        <w:jc w:val="both"/>
        <w:rPr>
          <w:rFonts w:ascii="Times New Roman" w:eastAsia="Times New Roman" w:hAnsi="Times New Roman"/>
          <w:b/>
        </w:rPr>
      </w:pPr>
      <w:r>
        <w:rPr>
          <w:rFonts w:ascii="Times New Roman" w:eastAsia="Times New Roman" w:hAnsi="Times New Roman"/>
          <w:b/>
        </w:rPr>
        <w:t>Why This Case Matters</w:t>
      </w:r>
    </w:p>
    <w:p w14:paraId="01E0FB2A" w14:textId="77777777" w:rsidR="00792854" w:rsidRDefault="00792854" w:rsidP="00792854">
      <w:pPr>
        <w:spacing w:line="276" w:lineRule="auto"/>
        <w:jc w:val="both"/>
        <w:rPr>
          <w:rFonts w:ascii="Times New Roman" w:eastAsia="Times New Roman" w:hAnsi="Times New Roman"/>
        </w:rPr>
      </w:pPr>
      <w:r>
        <w:rPr>
          <w:rFonts w:ascii="Times New Roman" w:eastAsia="Times New Roman" w:hAnsi="Times New Roman"/>
        </w:rPr>
        <w:t>In the view of the Courts, First Nations must provide significant evidence to determine the ambit of Treaty rights when challenging the adequacy of Crown consultation and accommodation. Otherwise, the Court may find that accommodations proposed by the proponent and Crown were adequate. In this case, the Court found that there was insufficient evidence that the First Nations used the territory that would be taken up by the Site C Project, and that the accommodations were sufficient.</w:t>
      </w:r>
      <w:r>
        <w:rPr>
          <w:rStyle w:val="FootnoteReference"/>
          <w:rFonts w:ascii="Times New Roman" w:eastAsia="Times New Roman" w:hAnsi="Times New Roman"/>
        </w:rPr>
        <w:footnoteReference w:id="19"/>
      </w:r>
    </w:p>
    <w:p w14:paraId="2F101B4D" w14:textId="77777777" w:rsidR="00792854" w:rsidRPr="00965366" w:rsidRDefault="00792854" w:rsidP="00792854">
      <w:pPr>
        <w:spacing w:line="276" w:lineRule="auto"/>
        <w:jc w:val="both"/>
        <w:rPr>
          <w:rFonts w:ascii="Times New Roman" w:eastAsia="Times New Roman" w:hAnsi="Times New Roman"/>
        </w:rPr>
      </w:pPr>
    </w:p>
    <w:p w14:paraId="17F436CA" w14:textId="77777777" w:rsidR="00792854" w:rsidRPr="00E15A22" w:rsidRDefault="00792854" w:rsidP="00792854">
      <w:pPr>
        <w:spacing w:line="276" w:lineRule="auto"/>
        <w:jc w:val="both"/>
        <w:rPr>
          <w:rFonts w:ascii="Times New Roman" w:eastAsia="Times New Roman" w:hAnsi="Times New Roman"/>
          <w:sz w:val="22"/>
        </w:rPr>
      </w:pPr>
      <w:r>
        <w:rPr>
          <w:rFonts w:ascii="Times New Roman" w:eastAsia="Times New Roman" w:hAnsi="Times New Roman"/>
        </w:rPr>
        <w:t xml:space="preserve">This case highlights the shortcomings of the consultation and accommodation doctrine. Proponents and the Crown should aspire to seek the free, prior, and informed consent of First Nations when their Aboriginal and Treaty rights are infringed through development. This is a failure of the Crown to implement the principles of the </w:t>
      </w:r>
      <w:r>
        <w:rPr>
          <w:rFonts w:ascii="Times New Roman" w:eastAsia="Times New Roman" w:hAnsi="Times New Roman"/>
          <w:i/>
        </w:rPr>
        <w:t>United Nations Declaration on the Rights of Indigenous Peoples</w:t>
      </w:r>
      <w:r>
        <w:rPr>
          <w:rFonts w:ascii="Times New Roman" w:eastAsia="Times New Roman" w:hAnsi="Times New Roman"/>
        </w:rPr>
        <w:t>.</w:t>
      </w:r>
    </w:p>
    <w:p w14:paraId="0EE69763" w14:textId="77777777" w:rsidR="00792854" w:rsidRDefault="00792854" w:rsidP="00792854">
      <w:pPr>
        <w:spacing w:line="276" w:lineRule="auto"/>
        <w:rPr>
          <w:rFonts w:ascii="Times New Roman" w:eastAsia="Times New Roman" w:hAnsi="Times New Roman"/>
        </w:rPr>
      </w:pPr>
    </w:p>
    <w:p w14:paraId="4CB277FB" w14:textId="2F32CEDB" w:rsidR="001D55B6" w:rsidRDefault="001D55B6" w:rsidP="00792854">
      <w:pPr>
        <w:spacing w:line="276" w:lineRule="auto"/>
        <w:rPr>
          <w:rFonts w:ascii="Times New Roman" w:eastAsia="Times New Roman" w:hAnsi="Times New Roman"/>
        </w:rPr>
      </w:pPr>
    </w:p>
    <w:sectPr w:rsidR="001D55B6" w:rsidSect="000F10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D89AE" w14:textId="77777777" w:rsidR="00600233" w:rsidRDefault="00600233" w:rsidP="00E70424">
      <w:r>
        <w:separator/>
      </w:r>
    </w:p>
  </w:endnote>
  <w:endnote w:type="continuationSeparator" w:id="0">
    <w:p w14:paraId="11DA5DBB" w14:textId="77777777" w:rsidR="00600233" w:rsidRDefault="00600233" w:rsidP="00E7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3" w:usb1="00000000" w:usb2="00000000" w:usb3="00000000" w:csb0="00000001" w:csb1="00000000"/>
  </w:font>
  <w:font w:name="Antonio">
    <w:altName w:val="Arial"/>
    <w:charset w:val="00"/>
    <w:family w:val="auto"/>
    <w:pitch w:val="variable"/>
    <w:sig w:usb0="A00000EF" w:usb1="5000204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Futura Std Condensed">
    <w:altName w:val="Arial Narrow"/>
    <w:charset w:val="00"/>
    <w:family w:val="auto"/>
    <w:pitch w:val="variable"/>
    <w:sig w:usb0="00000003" w:usb1="4000204A" w:usb2="00000000" w:usb3="00000000" w:csb0="00000001" w:csb1="00000000"/>
  </w:font>
  <w:font w:name="Futura Std Condensed Light">
    <w:altName w:val="Arial Narrow"/>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239"/>
      <w:gridCol w:w="3137"/>
      <w:gridCol w:w="3239"/>
    </w:tblGrid>
    <w:tr w:rsidR="00DC4393" w:rsidRPr="00886F2D" w14:paraId="3F7DB733" w14:textId="77777777" w:rsidTr="00886F2D">
      <w:trPr>
        <w:trHeight w:val="151"/>
      </w:trPr>
      <w:tc>
        <w:tcPr>
          <w:tcW w:w="2161" w:type="pct"/>
          <w:tcBorders>
            <w:top w:val="nil"/>
            <w:left w:val="nil"/>
            <w:bottom w:val="single" w:sz="4" w:space="0" w:color="4F81BD"/>
            <w:right w:val="nil"/>
          </w:tcBorders>
        </w:tcPr>
        <w:p w14:paraId="7F2E00F4" w14:textId="77777777" w:rsidR="00DC4393" w:rsidRPr="00886F2D" w:rsidRDefault="00DC4393" w:rsidP="0081598A">
          <w:pPr>
            <w:pStyle w:val="Header"/>
            <w:spacing w:line="276" w:lineRule="auto"/>
            <w:rPr>
              <w:rFonts w:ascii="Calibri" w:eastAsia="MS Gothic" w:hAnsi="Calibri"/>
              <w:b/>
              <w:bCs/>
              <w:color w:val="4F81BD"/>
            </w:rPr>
          </w:pPr>
        </w:p>
      </w:tc>
      <w:tc>
        <w:tcPr>
          <w:tcW w:w="678" w:type="pct"/>
          <w:vMerge w:val="restart"/>
          <w:noWrap/>
          <w:vAlign w:val="center"/>
          <w:hideMark/>
        </w:tcPr>
        <w:p w14:paraId="22E799C3" w14:textId="4D655DB9" w:rsidR="00DC4393" w:rsidRPr="00886F2D" w:rsidRDefault="00DC4393" w:rsidP="0081598A">
          <w:pPr>
            <w:pStyle w:val="NoSpacing"/>
            <w:spacing w:line="276" w:lineRule="auto"/>
            <w:rPr>
              <w:rFonts w:ascii="Calibri" w:hAnsi="Calibri"/>
              <w:color w:val="365F91"/>
            </w:rPr>
          </w:pPr>
          <w:r w:rsidRPr="00886F2D">
            <w:rPr>
              <w:rFonts w:ascii="Futura Std Condensed Light" w:hAnsi="Futura Std Condensed Light"/>
            </w:rPr>
            <w:t>Westaway Law Group Professional Corporation</w:t>
          </w:r>
        </w:p>
      </w:tc>
      <w:tc>
        <w:tcPr>
          <w:tcW w:w="2161" w:type="pct"/>
          <w:tcBorders>
            <w:top w:val="nil"/>
            <w:left w:val="nil"/>
            <w:bottom w:val="single" w:sz="4" w:space="0" w:color="4F81BD"/>
            <w:right w:val="nil"/>
          </w:tcBorders>
        </w:tcPr>
        <w:p w14:paraId="2A0290E7" w14:textId="77777777" w:rsidR="00DC4393" w:rsidRPr="00886F2D" w:rsidRDefault="00DC4393" w:rsidP="0081598A">
          <w:pPr>
            <w:pStyle w:val="Header"/>
            <w:spacing w:line="276" w:lineRule="auto"/>
            <w:rPr>
              <w:rFonts w:ascii="Calibri" w:eastAsia="MS Gothic" w:hAnsi="Calibri"/>
              <w:b/>
              <w:bCs/>
              <w:color w:val="4F81BD"/>
            </w:rPr>
          </w:pPr>
        </w:p>
      </w:tc>
    </w:tr>
    <w:tr w:rsidR="00DC4393" w:rsidRPr="00886F2D" w14:paraId="61C98588" w14:textId="77777777" w:rsidTr="00886F2D">
      <w:trPr>
        <w:trHeight w:val="150"/>
      </w:trPr>
      <w:tc>
        <w:tcPr>
          <w:tcW w:w="2161" w:type="pct"/>
          <w:tcBorders>
            <w:top w:val="single" w:sz="4" w:space="0" w:color="4F81BD"/>
            <w:left w:val="nil"/>
            <w:bottom w:val="nil"/>
            <w:right w:val="nil"/>
          </w:tcBorders>
        </w:tcPr>
        <w:p w14:paraId="54E9EBBA" w14:textId="77777777" w:rsidR="00DC4393" w:rsidRPr="00886F2D" w:rsidRDefault="00DC4393" w:rsidP="0081598A">
          <w:pPr>
            <w:pStyle w:val="Header"/>
            <w:spacing w:line="276" w:lineRule="auto"/>
            <w:rPr>
              <w:rFonts w:ascii="Calibri" w:eastAsia="MS Gothic" w:hAnsi="Calibri"/>
              <w:b/>
              <w:bCs/>
              <w:color w:val="4F81BD"/>
            </w:rPr>
          </w:pPr>
        </w:p>
      </w:tc>
      <w:tc>
        <w:tcPr>
          <w:tcW w:w="0" w:type="auto"/>
          <w:vMerge/>
          <w:vAlign w:val="center"/>
          <w:hideMark/>
        </w:tcPr>
        <w:p w14:paraId="2D05345C" w14:textId="77777777" w:rsidR="00DC4393" w:rsidRPr="00886F2D" w:rsidRDefault="00DC4393" w:rsidP="0081598A">
          <w:pPr>
            <w:rPr>
              <w:rFonts w:ascii="Calibri" w:hAnsi="Calibri"/>
              <w:color w:val="365F91"/>
              <w:sz w:val="22"/>
              <w:szCs w:val="22"/>
            </w:rPr>
          </w:pPr>
        </w:p>
      </w:tc>
      <w:tc>
        <w:tcPr>
          <w:tcW w:w="2161" w:type="pct"/>
          <w:tcBorders>
            <w:top w:val="single" w:sz="4" w:space="0" w:color="4F81BD"/>
            <w:left w:val="nil"/>
            <w:bottom w:val="nil"/>
            <w:right w:val="nil"/>
          </w:tcBorders>
        </w:tcPr>
        <w:p w14:paraId="3BB67594" w14:textId="77777777" w:rsidR="00DC4393" w:rsidRPr="00886F2D" w:rsidRDefault="00DC4393" w:rsidP="0081598A">
          <w:pPr>
            <w:pStyle w:val="Header"/>
            <w:spacing w:line="276" w:lineRule="auto"/>
            <w:rPr>
              <w:rFonts w:ascii="Calibri" w:eastAsia="MS Gothic" w:hAnsi="Calibri"/>
              <w:b/>
              <w:bCs/>
              <w:color w:val="4F81BD"/>
            </w:rPr>
          </w:pPr>
        </w:p>
      </w:tc>
    </w:tr>
  </w:tbl>
  <w:p w14:paraId="42E7AA60" w14:textId="77777777" w:rsidR="00DC4393" w:rsidRDefault="00DC4393">
    <w:pPr>
      <w:pStyle w:val="Footer"/>
    </w:pPr>
  </w:p>
  <w:p w14:paraId="57EDC28F" w14:textId="77777777" w:rsidR="00CC24F2" w:rsidRDefault="00CC24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E066" w14:textId="1EAC37B3" w:rsidR="00DC4393" w:rsidRPr="00752A0F" w:rsidRDefault="0022073E" w:rsidP="00752A0F">
    <w:pPr>
      <w:pStyle w:val="Footer"/>
      <w:ind w:right="-99" w:hanging="1134"/>
      <w:rPr>
        <w:rFonts w:ascii="Times New Roman" w:hAnsi="Times New Roman"/>
      </w:rPr>
    </w:pPr>
    <w:r w:rsidRPr="006B3D91">
      <w:rPr>
        <w:rFonts w:hint="eastAsia"/>
        <w:noProof/>
        <w:lang w:val="en-CA" w:eastAsia="en-CA"/>
      </w:rPr>
      <w:drawing>
        <wp:anchor distT="0" distB="0" distL="114300" distR="114300" simplePos="0" relativeHeight="251661312" behindDoc="1" locked="0" layoutInCell="1" allowOverlap="1" wp14:anchorId="28D3CE6A" wp14:editId="20821998">
          <wp:simplePos x="0" y="0"/>
          <wp:positionH relativeFrom="column">
            <wp:posOffset>-485775</wp:posOffset>
          </wp:positionH>
          <wp:positionV relativeFrom="paragraph">
            <wp:posOffset>107950</wp:posOffset>
          </wp:positionV>
          <wp:extent cx="6934200" cy="427355"/>
          <wp:effectExtent l="0" t="0" r="0" b="0"/>
          <wp:wrapNone/>
          <wp:docPr id="1" name="Picture 1"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427355"/>
                  </a:xfrm>
                  <a:prstGeom prst="rect">
                    <a:avLst/>
                  </a:prstGeom>
                  <a:noFill/>
                  <a:ln>
                    <a:noFill/>
                  </a:ln>
                </pic:spPr>
              </pic:pic>
            </a:graphicData>
          </a:graphic>
        </wp:anchor>
      </w:drawing>
    </w:r>
    <w:r w:rsidR="00752A0F">
      <w:rPr>
        <w:rFonts w:ascii="Times New Roman" w:hAnsi="Times New Roman"/>
      </w:rPr>
      <w:tab/>
    </w:r>
  </w:p>
  <w:p w14:paraId="3A1CAB92" w14:textId="77777777" w:rsidR="0022073E" w:rsidRDefault="0022073E" w:rsidP="0022073E">
    <w:pPr>
      <w:jc w:val="right"/>
    </w:pPr>
  </w:p>
  <w:p w14:paraId="2249FA31" w14:textId="6801AA39" w:rsidR="00CC24F2" w:rsidRPr="0022073E" w:rsidRDefault="0022073E" w:rsidP="0022073E">
    <w:pPr>
      <w:jc w:val="right"/>
      <w:rPr>
        <w:rFonts w:ascii="Times New Roman" w:hAnsi="Times New Roman"/>
      </w:rPr>
    </w:pPr>
    <w:r w:rsidRPr="0022073E">
      <w:rPr>
        <w:rFonts w:ascii="Times New Roman" w:hAnsi="Times New Roman"/>
      </w:rPr>
      <w:fldChar w:fldCharType="begin"/>
    </w:r>
    <w:r w:rsidRPr="0022073E">
      <w:rPr>
        <w:rFonts w:ascii="Times New Roman" w:hAnsi="Times New Roman"/>
      </w:rPr>
      <w:instrText xml:space="preserve"> PAGE   \* MERGEFORMAT </w:instrText>
    </w:r>
    <w:r w:rsidRPr="0022073E">
      <w:rPr>
        <w:rFonts w:ascii="Times New Roman" w:hAnsi="Times New Roman"/>
      </w:rPr>
      <w:fldChar w:fldCharType="separate"/>
    </w:r>
    <w:r w:rsidR="00A95F46">
      <w:rPr>
        <w:rFonts w:ascii="Times New Roman" w:hAnsi="Times New Roman"/>
        <w:noProof/>
      </w:rPr>
      <w:t>4</w:t>
    </w:r>
    <w:r w:rsidRPr="0022073E">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F3F3" w14:textId="3E28488A" w:rsidR="00DC4393" w:rsidRPr="006B3D91" w:rsidRDefault="0022073E" w:rsidP="006B3D91">
    <w:pPr>
      <w:pStyle w:val="Footer"/>
      <w:ind w:right="-99" w:hanging="1134"/>
    </w:pPr>
    <w:r w:rsidRPr="006B3D91">
      <w:rPr>
        <w:rFonts w:hint="eastAsia"/>
        <w:noProof/>
        <w:lang w:val="en-CA" w:eastAsia="en-CA"/>
      </w:rPr>
      <w:drawing>
        <wp:anchor distT="0" distB="0" distL="114300" distR="114300" simplePos="0" relativeHeight="251663360" behindDoc="1" locked="0" layoutInCell="1" allowOverlap="1" wp14:anchorId="2A73BDE9" wp14:editId="273517AD">
          <wp:simplePos x="0" y="0"/>
          <wp:positionH relativeFrom="margin">
            <wp:align>center</wp:align>
          </wp:positionH>
          <wp:positionV relativeFrom="paragraph">
            <wp:posOffset>-67310</wp:posOffset>
          </wp:positionV>
          <wp:extent cx="6934200" cy="427355"/>
          <wp:effectExtent l="0" t="0" r="0" b="0"/>
          <wp:wrapNone/>
          <wp:docPr id="2" name="Picture 2"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427355"/>
                  </a:xfrm>
                  <a:prstGeom prst="rect">
                    <a:avLst/>
                  </a:prstGeom>
                  <a:noFill/>
                  <a:ln>
                    <a:noFill/>
                  </a:ln>
                </pic:spPr>
              </pic:pic>
            </a:graphicData>
          </a:graphic>
        </wp:anchor>
      </w:drawing>
    </w:r>
    <w:r w:rsidR="006B3D9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71A41" w14:textId="77777777" w:rsidR="00600233" w:rsidRDefault="00600233" w:rsidP="00E70424">
      <w:pPr>
        <w:rPr>
          <w:noProof/>
        </w:rPr>
      </w:pPr>
      <w:r>
        <w:rPr>
          <w:noProof/>
        </w:rPr>
        <w:separator/>
      </w:r>
    </w:p>
  </w:footnote>
  <w:footnote w:type="continuationSeparator" w:id="0">
    <w:p w14:paraId="60ABCCE9" w14:textId="77777777" w:rsidR="00600233" w:rsidRDefault="00600233" w:rsidP="00E70424">
      <w:r>
        <w:continuationSeparator/>
      </w:r>
    </w:p>
  </w:footnote>
  <w:footnote w:id="1">
    <w:p w14:paraId="3F4A66B0" w14:textId="77777777" w:rsidR="00792854" w:rsidRPr="000E614A" w:rsidRDefault="00792854" w:rsidP="00792854">
      <w:pPr>
        <w:pStyle w:val="FootnoteText"/>
        <w:rPr>
          <w:rFonts w:ascii="Times New Roman" w:hAnsi="Times New Roman"/>
          <w:sz w:val="20"/>
          <w:szCs w:val="20"/>
          <w:lang w:val="en-CA"/>
        </w:rPr>
      </w:pPr>
      <w:r w:rsidRPr="00E17190">
        <w:rPr>
          <w:rStyle w:val="FootnoteReference"/>
          <w:rFonts w:ascii="Times New Roman" w:hAnsi="Times New Roman"/>
          <w:sz w:val="20"/>
          <w:szCs w:val="20"/>
        </w:rPr>
        <w:footnoteRef/>
      </w:r>
      <w:r w:rsidRPr="00E17190">
        <w:rPr>
          <w:rFonts w:ascii="Times New Roman" w:hAnsi="Times New Roman"/>
          <w:sz w:val="20"/>
          <w:szCs w:val="20"/>
        </w:rPr>
        <w:t xml:space="preserve"> </w:t>
      </w:r>
      <w:r w:rsidRPr="00E17190">
        <w:rPr>
          <w:rFonts w:ascii="Times New Roman" w:hAnsi="Times New Roman"/>
          <w:i/>
          <w:sz w:val="20"/>
          <w:szCs w:val="20"/>
        </w:rPr>
        <w:t>Canadian Environmental Assessment Act, 2012</w:t>
      </w:r>
      <w:r w:rsidRPr="00E17190">
        <w:rPr>
          <w:rFonts w:ascii="Times New Roman" w:hAnsi="Times New Roman"/>
          <w:sz w:val="20"/>
          <w:szCs w:val="20"/>
        </w:rPr>
        <w:t>, SC 2012, c 19, s 52, at section 52(4) [</w:t>
      </w:r>
      <w:r w:rsidRPr="00E17190">
        <w:rPr>
          <w:rFonts w:ascii="Times New Roman" w:hAnsi="Times New Roman"/>
          <w:i/>
          <w:sz w:val="20"/>
          <w:szCs w:val="20"/>
        </w:rPr>
        <w:t>CEAA 2012</w:t>
      </w:r>
      <w:r>
        <w:rPr>
          <w:rFonts w:ascii="Times New Roman" w:hAnsi="Times New Roman"/>
          <w:sz w:val="20"/>
          <w:szCs w:val="20"/>
        </w:rPr>
        <w:t xml:space="preserve">]. </w:t>
      </w:r>
    </w:p>
  </w:footnote>
  <w:footnote w:id="2">
    <w:p w14:paraId="245250D8" w14:textId="77777777" w:rsidR="00792854" w:rsidRPr="00E87CE3" w:rsidRDefault="00792854" w:rsidP="00792854">
      <w:pPr>
        <w:pStyle w:val="FootnoteText"/>
        <w:rPr>
          <w:rFonts w:ascii="Times New Roman" w:hAnsi="Times New Roman"/>
          <w:sz w:val="20"/>
          <w:szCs w:val="20"/>
          <w:lang w:val="en-CA"/>
        </w:rPr>
      </w:pPr>
      <w:r w:rsidRPr="00E17190">
        <w:rPr>
          <w:rStyle w:val="FootnoteReference"/>
          <w:rFonts w:ascii="Times New Roman" w:hAnsi="Times New Roman"/>
          <w:sz w:val="20"/>
          <w:szCs w:val="20"/>
        </w:rPr>
        <w:footnoteRef/>
      </w:r>
      <w:r w:rsidRPr="00E17190">
        <w:rPr>
          <w:rFonts w:ascii="Times New Roman" w:hAnsi="Times New Roman"/>
          <w:sz w:val="20"/>
          <w:szCs w:val="20"/>
        </w:rPr>
        <w:t xml:space="preserve"> </w:t>
      </w:r>
      <w:r>
        <w:rPr>
          <w:rFonts w:ascii="Times New Roman" w:hAnsi="Times New Roman"/>
          <w:i/>
          <w:sz w:val="20"/>
          <w:szCs w:val="20"/>
        </w:rPr>
        <w:t>Prophet River First Nation v Canada (Attorney General)</w:t>
      </w:r>
      <w:r>
        <w:rPr>
          <w:rFonts w:ascii="Times New Roman" w:hAnsi="Times New Roman"/>
          <w:sz w:val="20"/>
          <w:szCs w:val="20"/>
        </w:rPr>
        <w:t xml:space="preserve">, 2017 FCA 15 </w:t>
      </w:r>
      <w:r>
        <w:rPr>
          <w:rFonts w:ascii="Times New Roman" w:hAnsi="Times New Roman"/>
          <w:sz w:val="20"/>
          <w:szCs w:val="20"/>
          <w:lang w:val="en-CA"/>
        </w:rPr>
        <w:t>at para 11 [</w:t>
      </w:r>
      <w:r>
        <w:rPr>
          <w:rFonts w:ascii="Times New Roman" w:hAnsi="Times New Roman"/>
          <w:i/>
          <w:sz w:val="20"/>
          <w:szCs w:val="20"/>
          <w:lang w:val="en-CA"/>
        </w:rPr>
        <w:t>Prophet River</w:t>
      </w:r>
      <w:r>
        <w:rPr>
          <w:rFonts w:ascii="Times New Roman" w:hAnsi="Times New Roman"/>
          <w:sz w:val="20"/>
          <w:szCs w:val="20"/>
          <w:lang w:val="en-CA"/>
        </w:rPr>
        <w:t>].</w:t>
      </w:r>
    </w:p>
  </w:footnote>
  <w:footnote w:id="3">
    <w:p w14:paraId="04F43F52" w14:textId="77777777" w:rsidR="00792854" w:rsidRPr="00E24BC7" w:rsidRDefault="00792854" w:rsidP="00792854">
      <w:pPr>
        <w:pStyle w:val="FootnoteText"/>
        <w:rPr>
          <w:rFonts w:ascii="Times New Roman" w:hAnsi="Times New Roman"/>
          <w:sz w:val="20"/>
          <w:szCs w:val="20"/>
          <w:lang w:val="en-CA"/>
        </w:rPr>
      </w:pPr>
      <w:r w:rsidRPr="00E17190">
        <w:rPr>
          <w:rStyle w:val="FootnoteReference"/>
          <w:rFonts w:ascii="Times New Roman" w:hAnsi="Times New Roman"/>
          <w:sz w:val="20"/>
          <w:szCs w:val="20"/>
        </w:rPr>
        <w:footnoteRef/>
      </w:r>
      <w:r w:rsidRPr="00E24BC7">
        <w:rPr>
          <w:rFonts w:ascii="Times New Roman" w:hAnsi="Times New Roman"/>
          <w:sz w:val="20"/>
          <w:szCs w:val="20"/>
          <w:lang w:val="en-CA"/>
        </w:rPr>
        <w:t xml:space="preserve"> </w:t>
      </w:r>
      <w:r>
        <w:rPr>
          <w:rFonts w:ascii="Times New Roman" w:hAnsi="Times New Roman"/>
          <w:i/>
          <w:sz w:val="20"/>
          <w:szCs w:val="20"/>
          <w:lang w:val="en-CA"/>
        </w:rPr>
        <w:t xml:space="preserve">Ibid </w:t>
      </w:r>
      <w:r>
        <w:rPr>
          <w:rFonts w:ascii="Times New Roman" w:hAnsi="Times New Roman"/>
          <w:sz w:val="20"/>
          <w:szCs w:val="20"/>
          <w:lang w:val="en-CA"/>
        </w:rPr>
        <w:t>at p</w:t>
      </w:r>
      <w:r w:rsidRPr="00E24BC7">
        <w:rPr>
          <w:rFonts w:ascii="Times New Roman" w:hAnsi="Times New Roman"/>
          <w:sz w:val="20"/>
          <w:szCs w:val="20"/>
          <w:lang w:val="en-CA"/>
        </w:rPr>
        <w:t>ara 13.</w:t>
      </w:r>
    </w:p>
  </w:footnote>
  <w:footnote w:id="4">
    <w:p w14:paraId="292DDFE4" w14:textId="77777777" w:rsidR="00792854" w:rsidRPr="00FB2DAB" w:rsidRDefault="00792854" w:rsidP="00792854">
      <w:pPr>
        <w:pStyle w:val="FootnoteText"/>
        <w:rPr>
          <w:rFonts w:ascii="Times New Roman" w:hAnsi="Times New Roman"/>
          <w:sz w:val="20"/>
          <w:szCs w:val="20"/>
        </w:rPr>
      </w:pPr>
      <w:r w:rsidRPr="00FB2DAB">
        <w:rPr>
          <w:rStyle w:val="FootnoteReference"/>
          <w:rFonts w:ascii="Times New Roman" w:hAnsi="Times New Roman"/>
          <w:sz w:val="20"/>
          <w:szCs w:val="20"/>
        </w:rPr>
        <w:footnoteRef/>
      </w:r>
      <w:r w:rsidRPr="00FB2DAB">
        <w:rPr>
          <w:rFonts w:ascii="Times New Roman" w:hAnsi="Times New Roman"/>
          <w:sz w:val="20"/>
          <w:szCs w:val="20"/>
        </w:rPr>
        <w:t xml:space="preserve"> </w:t>
      </w:r>
      <w:r w:rsidRPr="00FB2DAB">
        <w:rPr>
          <w:rFonts w:ascii="Times New Roman" w:hAnsi="Times New Roman"/>
          <w:i/>
          <w:sz w:val="20"/>
          <w:szCs w:val="20"/>
        </w:rPr>
        <w:t>CEAA 2012</w:t>
      </w:r>
      <w:r w:rsidRPr="00FB2DAB">
        <w:rPr>
          <w:rFonts w:ascii="Times New Roman" w:hAnsi="Times New Roman"/>
          <w:sz w:val="20"/>
          <w:szCs w:val="20"/>
        </w:rPr>
        <w:t>,</w:t>
      </w:r>
      <w:r>
        <w:rPr>
          <w:rFonts w:ascii="Times New Roman" w:hAnsi="Times New Roman"/>
          <w:sz w:val="20"/>
          <w:szCs w:val="20"/>
        </w:rPr>
        <w:t xml:space="preserve"> </w:t>
      </w:r>
      <w:r>
        <w:rPr>
          <w:rFonts w:ascii="Times New Roman" w:hAnsi="Times New Roman"/>
          <w:i/>
          <w:sz w:val="20"/>
          <w:szCs w:val="20"/>
        </w:rPr>
        <w:t xml:space="preserve">supra </w:t>
      </w:r>
      <w:r>
        <w:rPr>
          <w:rFonts w:ascii="Times New Roman" w:hAnsi="Times New Roman"/>
          <w:sz w:val="20"/>
          <w:szCs w:val="20"/>
        </w:rPr>
        <w:t>note 1,</w:t>
      </w:r>
      <w:r w:rsidRPr="00FB2DAB">
        <w:rPr>
          <w:rFonts w:ascii="Times New Roman" w:hAnsi="Times New Roman"/>
          <w:sz w:val="20"/>
          <w:szCs w:val="20"/>
        </w:rPr>
        <w:t xml:space="preserve"> </w:t>
      </w:r>
      <w:proofErr w:type="spellStart"/>
      <w:r w:rsidRPr="00FB2DAB">
        <w:rPr>
          <w:rFonts w:ascii="Times New Roman" w:hAnsi="Times New Roman"/>
          <w:sz w:val="20"/>
          <w:szCs w:val="20"/>
        </w:rPr>
        <w:t>s</w:t>
      </w:r>
      <w:r>
        <w:rPr>
          <w:rFonts w:ascii="Times New Roman" w:hAnsi="Times New Roman"/>
          <w:sz w:val="20"/>
          <w:szCs w:val="20"/>
        </w:rPr>
        <w:t>s</w:t>
      </w:r>
      <w:proofErr w:type="spellEnd"/>
      <w:r w:rsidRPr="00FB2DAB">
        <w:rPr>
          <w:rFonts w:ascii="Times New Roman" w:hAnsi="Times New Roman"/>
          <w:sz w:val="20"/>
          <w:szCs w:val="20"/>
        </w:rPr>
        <w:t xml:space="preserve"> 52(2): </w:t>
      </w:r>
      <w:r w:rsidRPr="00FB2532">
        <w:rPr>
          <w:rFonts w:ascii="Times New Roman" w:hAnsi="Times New Roman"/>
          <w:sz w:val="20"/>
          <w:szCs w:val="20"/>
          <w:u w:val="single"/>
        </w:rPr>
        <w:t>If the decision maker decides that the designated project is likely to cause significant adverse environmental effects referred to in subsection 5(1) or (2), the decision maker must refer to the Governor in Council the matter of whether those effects are justified in the circumstances</w:t>
      </w:r>
      <w:r w:rsidRPr="00FB2DAB">
        <w:rPr>
          <w:rFonts w:ascii="Times New Roman" w:hAnsi="Times New Roman"/>
          <w:sz w:val="20"/>
          <w:szCs w:val="20"/>
        </w:rPr>
        <w:t>.</w:t>
      </w:r>
    </w:p>
  </w:footnote>
  <w:footnote w:id="5">
    <w:p w14:paraId="5FF30305" w14:textId="77777777" w:rsidR="00792854" w:rsidRPr="00E24BC7" w:rsidRDefault="00792854" w:rsidP="00792854">
      <w:pPr>
        <w:pStyle w:val="FootnoteText"/>
        <w:rPr>
          <w:rFonts w:ascii="Times New Roman" w:hAnsi="Times New Roman"/>
          <w:sz w:val="20"/>
          <w:szCs w:val="20"/>
          <w:lang w:val="en-CA"/>
        </w:rPr>
      </w:pPr>
      <w:r w:rsidRPr="00E87CE3">
        <w:rPr>
          <w:rStyle w:val="FootnoteReference"/>
          <w:rFonts w:ascii="Times New Roman" w:hAnsi="Times New Roman"/>
          <w:sz w:val="20"/>
          <w:szCs w:val="20"/>
        </w:rPr>
        <w:footnoteRef/>
      </w:r>
      <w:r w:rsidRPr="00E87CE3">
        <w:rPr>
          <w:rFonts w:ascii="Times New Roman" w:hAnsi="Times New Roman"/>
          <w:sz w:val="20"/>
          <w:szCs w:val="20"/>
          <w:lang w:val="en-CA"/>
        </w:rPr>
        <w:t xml:space="preserve"> </w:t>
      </w:r>
      <w:r>
        <w:rPr>
          <w:rFonts w:ascii="Times New Roman" w:hAnsi="Times New Roman"/>
          <w:i/>
          <w:sz w:val="20"/>
          <w:szCs w:val="20"/>
          <w:lang w:val="en-CA"/>
        </w:rPr>
        <w:t>Ibid</w:t>
      </w:r>
      <w:r w:rsidRPr="00E87CE3">
        <w:rPr>
          <w:rFonts w:ascii="Times New Roman" w:hAnsi="Times New Roman"/>
          <w:sz w:val="20"/>
          <w:szCs w:val="20"/>
          <w:lang w:val="en-CA"/>
        </w:rPr>
        <w:t xml:space="preserve">, </w:t>
      </w:r>
      <w:proofErr w:type="spellStart"/>
      <w:r w:rsidRPr="00E87CE3">
        <w:rPr>
          <w:rFonts w:ascii="Times New Roman" w:hAnsi="Times New Roman"/>
          <w:sz w:val="20"/>
          <w:szCs w:val="20"/>
          <w:lang w:val="en-CA"/>
        </w:rPr>
        <w:t>s</w:t>
      </w:r>
      <w:r>
        <w:rPr>
          <w:rFonts w:ascii="Times New Roman" w:hAnsi="Times New Roman"/>
          <w:sz w:val="20"/>
          <w:szCs w:val="20"/>
          <w:lang w:val="en-CA"/>
        </w:rPr>
        <w:t>s</w:t>
      </w:r>
      <w:proofErr w:type="spellEnd"/>
      <w:r w:rsidRPr="00E87CE3">
        <w:rPr>
          <w:rFonts w:ascii="Times New Roman" w:hAnsi="Times New Roman"/>
          <w:sz w:val="20"/>
          <w:szCs w:val="20"/>
          <w:lang w:val="en-CA"/>
        </w:rPr>
        <w:t xml:space="preserve"> 52(4): </w:t>
      </w:r>
      <w:r w:rsidRPr="00FB2532">
        <w:rPr>
          <w:rFonts w:ascii="Times New Roman" w:hAnsi="Times New Roman"/>
          <w:sz w:val="20"/>
          <w:szCs w:val="20"/>
          <w:u w:val="single"/>
        </w:rPr>
        <w:t>When a matter has been referred to the Governor in Council, the Governor in Council may decide: (a) that the significant adverse environmental effects that the designated project is likely to cause are justified in the circumstances</w:t>
      </w:r>
      <w:r w:rsidRPr="000E614A">
        <w:rPr>
          <w:rFonts w:ascii="Times New Roman" w:hAnsi="Times New Roman"/>
          <w:sz w:val="20"/>
          <w:szCs w:val="20"/>
        </w:rPr>
        <w:t>; or</w:t>
      </w:r>
      <w:r>
        <w:rPr>
          <w:rFonts w:ascii="Times New Roman" w:hAnsi="Times New Roman"/>
          <w:sz w:val="20"/>
          <w:szCs w:val="20"/>
        </w:rPr>
        <w:t xml:space="preserve"> </w:t>
      </w:r>
      <w:r w:rsidRPr="000E614A">
        <w:rPr>
          <w:rFonts w:ascii="Times New Roman" w:hAnsi="Times New Roman"/>
          <w:sz w:val="20"/>
          <w:szCs w:val="20"/>
        </w:rPr>
        <w:t>(b) that the significant adverse environmental effects that the designated project is likely to cause are not justified in the circumstances.</w:t>
      </w:r>
    </w:p>
  </w:footnote>
  <w:footnote w:id="6">
    <w:p w14:paraId="08C7C4D1" w14:textId="77777777" w:rsidR="00792854" w:rsidRPr="000E614A" w:rsidRDefault="00792854" w:rsidP="00792854">
      <w:pPr>
        <w:pStyle w:val="FootnoteText"/>
        <w:rPr>
          <w:rFonts w:ascii="Times New Roman" w:hAnsi="Times New Roman"/>
          <w:sz w:val="20"/>
          <w:szCs w:val="20"/>
          <w:lang w:val="en-CA"/>
        </w:rPr>
      </w:pPr>
      <w:r w:rsidRPr="000E614A">
        <w:rPr>
          <w:rStyle w:val="FootnoteReference"/>
          <w:rFonts w:ascii="Times New Roman" w:hAnsi="Times New Roman"/>
          <w:sz w:val="20"/>
          <w:szCs w:val="20"/>
        </w:rPr>
        <w:footnoteRef/>
      </w:r>
      <w:r w:rsidRPr="000E614A">
        <w:rPr>
          <w:rFonts w:ascii="Times New Roman" w:hAnsi="Times New Roman"/>
          <w:sz w:val="20"/>
          <w:szCs w:val="20"/>
        </w:rPr>
        <w:t xml:space="preserve"> </w:t>
      </w:r>
      <w:r w:rsidRPr="0066441E">
        <w:rPr>
          <w:rFonts w:ascii="Times New Roman" w:hAnsi="Times New Roman"/>
          <w:i/>
          <w:sz w:val="20"/>
          <w:szCs w:val="20"/>
          <w:lang w:val="en-CA"/>
        </w:rPr>
        <w:t>Prophet River</w:t>
      </w:r>
      <w:r>
        <w:rPr>
          <w:rFonts w:ascii="Times New Roman" w:hAnsi="Times New Roman"/>
          <w:i/>
          <w:sz w:val="20"/>
          <w:szCs w:val="20"/>
          <w:lang w:val="en-CA"/>
        </w:rPr>
        <w:t xml:space="preserve">, supra </w:t>
      </w:r>
      <w:r>
        <w:rPr>
          <w:rFonts w:ascii="Times New Roman" w:hAnsi="Times New Roman"/>
          <w:sz w:val="20"/>
          <w:szCs w:val="20"/>
          <w:lang w:val="en-CA"/>
        </w:rPr>
        <w:t>note 2,</w:t>
      </w:r>
      <w:r w:rsidRPr="000E614A">
        <w:rPr>
          <w:rFonts w:ascii="Times New Roman" w:hAnsi="Times New Roman"/>
          <w:i/>
          <w:sz w:val="20"/>
          <w:szCs w:val="20"/>
          <w:lang w:val="en-CA"/>
        </w:rPr>
        <w:t xml:space="preserve"> </w:t>
      </w:r>
      <w:r w:rsidRPr="000E614A">
        <w:rPr>
          <w:rFonts w:ascii="Times New Roman" w:hAnsi="Times New Roman"/>
          <w:sz w:val="20"/>
          <w:szCs w:val="20"/>
          <w:lang w:val="en-CA"/>
        </w:rPr>
        <w:t>at para 21.</w:t>
      </w:r>
    </w:p>
  </w:footnote>
  <w:footnote w:id="7">
    <w:p w14:paraId="72D62BE9" w14:textId="77777777" w:rsidR="00792854" w:rsidRPr="00E17190" w:rsidRDefault="00792854" w:rsidP="00792854">
      <w:pPr>
        <w:pStyle w:val="FootnoteText"/>
        <w:rPr>
          <w:rFonts w:ascii="Times New Roman" w:hAnsi="Times New Roman"/>
          <w:sz w:val="20"/>
          <w:szCs w:val="20"/>
          <w:lang w:val="en-CA"/>
        </w:rPr>
      </w:pPr>
      <w:r w:rsidRPr="00E17190">
        <w:rPr>
          <w:rStyle w:val="FootnoteReference"/>
          <w:rFonts w:ascii="Times New Roman" w:hAnsi="Times New Roman"/>
          <w:sz w:val="20"/>
          <w:szCs w:val="20"/>
        </w:rPr>
        <w:footnoteRef/>
      </w:r>
      <w:r w:rsidRPr="00E17190">
        <w:rPr>
          <w:rFonts w:ascii="Times New Roman" w:hAnsi="Times New Roman"/>
          <w:sz w:val="20"/>
          <w:szCs w:val="20"/>
        </w:rPr>
        <w:t xml:space="preserve"> </w:t>
      </w:r>
      <w:r>
        <w:rPr>
          <w:rFonts w:ascii="Times New Roman" w:hAnsi="Times New Roman"/>
          <w:i/>
          <w:sz w:val="20"/>
          <w:szCs w:val="20"/>
          <w:lang w:val="en-CA"/>
        </w:rPr>
        <w:t xml:space="preserve">Ibid </w:t>
      </w:r>
      <w:r>
        <w:rPr>
          <w:rFonts w:ascii="Times New Roman" w:hAnsi="Times New Roman"/>
          <w:sz w:val="20"/>
          <w:szCs w:val="20"/>
          <w:lang w:val="en-CA"/>
        </w:rPr>
        <w:t>at p</w:t>
      </w:r>
      <w:r w:rsidRPr="00E17190">
        <w:rPr>
          <w:rFonts w:ascii="Times New Roman" w:hAnsi="Times New Roman"/>
          <w:sz w:val="20"/>
          <w:szCs w:val="20"/>
          <w:lang w:val="en-CA"/>
        </w:rPr>
        <w:t>ara 27.</w:t>
      </w:r>
    </w:p>
  </w:footnote>
  <w:footnote w:id="8">
    <w:p w14:paraId="1D5F8D5F" w14:textId="77777777" w:rsidR="00792854" w:rsidRPr="00E17190" w:rsidRDefault="00792854" w:rsidP="00792854">
      <w:pPr>
        <w:pStyle w:val="FootnoteText"/>
        <w:rPr>
          <w:rFonts w:ascii="Times New Roman" w:hAnsi="Times New Roman"/>
          <w:sz w:val="20"/>
          <w:szCs w:val="20"/>
          <w:lang w:val="en-CA"/>
        </w:rPr>
      </w:pPr>
      <w:r w:rsidRPr="00E17190">
        <w:rPr>
          <w:rStyle w:val="FootnoteReference"/>
          <w:rFonts w:ascii="Times New Roman" w:hAnsi="Times New Roman"/>
          <w:sz w:val="20"/>
          <w:szCs w:val="20"/>
        </w:rPr>
        <w:footnoteRef/>
      </w:r>
      <w:r w:rsidRPr="00E17190">
        <w:rPr>
          <w:rFonts w:ascii="Times New Roman" w:hAnsi="Times New Roman"/>
          <w:sz w:val="20"/>
          <w:szCs w:val="20"/>
        </w:rPr>
        <w:t xml:space="preserve"> </w:t>
      </w:r>
      <w:r>
        <w:rPr>
          <w:rFonts w:ascii="Times New Roman" w:hAnsi="Times New Roman"/>
          <w:i/>
          <w:sz w:val="20"/>
          <w:szCs w:val="20"/>
          <w:lang w:val="en-CA"/>
        </w:rPr>
        <w:t xml:space="preserve">Ibid </w:t>
      </w:r>
      <w:r>
        <w:rPr>
          <w:rFonts w:ascii="Times New Roman" w:hAnsi="Times New Roman"/>
          <w:sz w:val="20"/>
          <w:szCs w:val="20"/>
          <w:lang w:val="en-CA"/>
        </w:rPr>
        <w:t>at p</w:t>
      </w:r>
      <w:r w:rsidRPr="00E17190">
        <w:rPr>
          <w:rFonts w:ascii="Times New Roman" w:hAnsi="Times New Roman"/>
          <w:sz w:val="20"/>
          <w:szCs w:val="20"/>
          <w:lang w:val="en-CA"/>
        </w:rPr>
        <w:t>ara 30.</w:t>
      </w:r>
    </w:p>
  </w:footnote>
  <w:footnote w:id="9">
    <w:p w14:paraId="75BF3593" w14:textId="77777777" w:rsidR="00792854" w:rsidRPr="000E614A" w:rsidRDefault="00792854" w:rsidP="00792854">
      <w:pPr>
        <w:pStyle w:val="FootnoteText"/>
        <w:rPr>
          <w:rFonts w:ascii="Times New Roman" w:hAnsi="Times New Roman"/>
          <w:i/>
          <w:sz w:val="20"/>
          <w:szCs w:val="20"/>
          <w:lang w:val="en-CA"/>
        </w:rPr>
      </w:pPr>
      <w:r w:rsidRPr="000E614A">
        <w:rPr>
          <w:rStyle w:val="FootnoteReference"/>
          <w:rFonts w:ascii="Times New Roman" w:hAnsi="Times New Roman"/>
          <w:sz w:val="20"/>
          <w:szCs w:val="20"/>
        </w:rPr>
        <w:footnoteRef/>
      </w:r>
      <w:r w:rsidRPr="000E614A">
        <w:rPr>
          <w:rFonts w:ascii="Times New Roman" w:hAnsi="Times New Roman"/>
          <w:sz w:val="20"/>
          <w:szCs w:val="20"/>
        </w:rPr>
        <w:t xml:space="preserve"> </w:t>
      </w:r>
      <w:r w:rsidRPr="000E614A">
        <w:rPr>
          <w:rFonts w:ascii="Times New Roman" w:hAnsi="Times New Roman"/>
          <w:i/>
          <w:sz w:val="20"/>
          <w:szCs w:val="20"/>
          <w:lang w:val="en-CA"/>
        </w:rPr>
        <w:t>Ibid</w:t>
      </w:r>
      <w:r w:rsidRPr="000E614A">
        <w:rPr>
          <w:rFonts w:ascii="Times New Roman" w:hAnsi="Times New Roman"/>
          <w:sz w:val="20"/>
          <w:szCs w:val="20"/>
          <w:lang w:val="en-CA"/>
        </w:rPr>
        <w:t>.</w:t>
      </w:r>
    </w:p>
  </w:footnote>
  <w:footnote w:id="10">
    <w:p w14:paraId="43772DDB" w14:textId="77777777" w:rsidR="00792854" w:rsidRPr="00E17190" w:rsidRDefault="00792854" w:rsidP="00792854">
      <w:pPr>
        <w:pStyle w:val="FootnoteText"/>
        <w:rPr>
          <w:rFonts w:ascii="Times New Roman" w:hAnsi="Times New Roman"/>
          <w:sz w:val="20"/>
          <w:szCs w:val="20"/>
          <w:lang w:val="en-CA"/>
        </w:rPr>
      </w:pPr>
      <w:r w:rsidRPr="00E17190">
        <w:rPr>
          <w:rStyle w:val="FootnoteReference"/>
          <w:rFonts w:ascii="Times New Roman" w:hAnsi="Times New Roman"/>
          <w:sz w:val="20"/>
          <w:szCs w:val="20"/>
        </w:rPr>
        <w:footnoteRef/>
      </w:r>
      <w:r w:rsidRPr="00E17190">
        <w:rPr>
          <w:rFonts w:ascii="Times New Roman" w:hAnsi="Times New Roman"/>
          <w:sz w:val="20"/>
          <w:szCs w:val="20"/>
        </w:rPr>
        <w:t xml:space="preserve"> </w:t>
      </w:r>
      <w:r>
        <w:rPr>
          <w:rFonts w:ascii="Times New Roman" w:hAnsi="Times New Roman"/>
          <w:i/>
          <w:sz w:val="20"/>
          <w:szCs w:val="20"/>
          <w:lang w:val="en-CA"/>
        </w:rPr>
        <w:t xml:space="preserve">Ibid </w:t>
      </w:r>
      <w:r>
        <w:rPr>
          <w:rFonts w:ascii="Times New Roman" w:hAnsi="Times New Roman"/>
          <w:sz w:val="20"/>
          <w:szCs w:val="20"/>
          <w:lang w:val="en-CA"/>
        </w:rPr>
        <w:t>at p</w:t>
      </w:r>
      <w:r w:rsidRPr="00E17190">
        <w:rPr>
          <w:rFonts w:ascii="Times New Roman" w:hAnsi="Times New Roman"/>
          <w:sz w:val="20"/>
          <w:szCs w:val="20"/>
          <w:lang w:val="en-CA"/>
        </w:rPr>
        <w:t>ara 49.</w:t>
      </w:r>
    </w:p>
  </w:footnote>
  <w:footnote w:id="11">
    <w:p w14:paraId="4E27024D" w14:textId="77777777" w:rsidR="00792854" w:rsidRPr="00E17190" w:rsidRDefault="00792854" w:rsidP="00792854">
      <w:pPr>
        <w:pStyle w:val="FootnoteText"/>
        <w:rPr>
          <w:rFonts w:ascii="Times New Roman" w:hAnsi="Times New Roman"/>
          <w:sz w:val="20"/>
          <w:szCs w:val="20"/>
          <w:lang w:val="en-CA"/>
        </w:rPr>
      </w:pPr>
      <w:r w:rsidRPr="00E17190">
        <w:rPr>
          <w:rStyle w:val="FootnoteReference"/>
          <w:rFonts w:ascii="Times New Roman" w:hAnsi="Times New Roman"/>
          <w:sz w:val="20"/>
          <w:szCs w:val="20"/>
        </w:rPr>
        <w:footnoteRef/>
      </w:r>
      <w:r w:rsidRPr="00E17190">
        <w:rPr>
          <w:rFonts w:ascii="Times New Roman" w:hAnsi="Times New Roman"/>
          <w:sz w:val="20"/>
          <w:szCs w:val="20"/>
        </w:rPr>
        <w:t xml:space="preserve"> </w:t>
      </w:r>
      <w:r>
        <w:rPr>
          <w:rFonts w:ascii="Times New Roman" w:hAnsi="Times New Roman"/>
          <w:i/>
          <w:sz w:val="20"/>
          <w:szCs w:val="20"/>
          <w:lang w:val="en-CA"/>
        </w:rPr>
        <w:t xml:space="preserve">Ibid </w:t>
      </w:r>
      <w:r>
        <w:rPr>
          <w:rFonts w:ascii="Times New Roman" w:hAnsi="Times New Roman"/>
          <w:sz w:val="20"/>
          <w:szCs w:val="20"/>
          <w:lang w:val="en-CA"/>
        </w:rPr>
        <w:t>at p</w:t>
      </w:r>
      <w:r w:rsidRPr="00E17190">
        <w:rPr>
          <w:rFonts w:ascii="Times New Roman" w:hAnsi="Times New Roman"/>
          <w:sz w:val="20"/>
          <w:szCs w:val="20"/>
          <w:lang w:val="en-CA"/>
        </w:rPr>
        <w:t>ara</w:t>
      </w:r>
      <w:r>
        <w:rPr>
          <w:rFonts w:ascii="Times New Roman" w:hAnsi="Times New Roman"/>
          <w:sz w:val="20"/>
          <w:szCs w:val="20"/>
          <w:lang w:val="en-CA"/>
        </w:rPr>
        <w:t>s 50 and</w:t>
      </w:r>
      <w:r w:rsidRPr="00E17190">
        <w:rPr>
          <w:rFonts w:ascii="Times New Roman" w:hAnsi="Times New Roman"/>
          <w:sz w:val="20"/>
          <w:szCs w:val="20"/>
          <w:lang w:val="en-CA"/>
        </w:rPr>
        <w:t xml:space="preserve"> 56.</w:t>
      </w:r>
    </w:p>
  </w:footnote>
  <w:footnote w:id="12">
    <w:p w14:paraId="49901259" w14:textId="77777777" w:rsidR="00792854" w:rsidRPr="00E17190" w:rsidRDefault="00792854" w:rsidP="00792854">
      <w:pPr>
        <w:pStyle w:val="FootnoteText"/>
        <w:rPr>
          <w:rFonts w:ascii="Times New Roman" w:hAnsi="Times New Roman"/>
          <w:sz w:val="20"/>
          <w:szCs w:val="20"/>
          <w:lang w:val="en-CA"/>
        </w:rPr>
      </w:pPr>
      <w:r w:rsidRPr="00E17190">
        <w:rPr>
          <w:rStyle w:val="FootnoteReference"/>
          <w:rFonts w:ascii="Times New Roman" w:hAnsi="Times New Roman"/>
          <w:sz w:val="20"/>
          <w:szCs w:val="20"/>
        </w:rPr>
        <w:footnoteRef/>
      </w:r>
      <w:r w:rsidRPr="00E17190">
        <w:rPr>
          <w:rFonts w:ascii="Times New Roman" w:hAnsi="Times New Roman"/>
          <w:sz w:val="20"/>
          <w:szCs w:val="20"/>
        </w:rPr>
        <w:t xml:space="preserve"> </w:t>
      </w:r>
      <w:r>
        <w:rPr>
          <w:rFonts w:ascii="Times New Roman" w:hAnsi="Times New Roman"/>
          <w:i/>
          <w:sz w:val="20"/>
          <w:szCs w:val="20"/>
          <w:lang w:val="en-CA"/>
        </w:rPr>
        <w:t xml:space="preserve">Ibid </w:t>
      </w:r>
      <w:r>
        <w:rPr>
          <w:rFonts w:ascii="Times New Roman" w:hAnsi="Times New Roman"/>
          <w:sz w:val="20"/>
          <w:szCs w:val="20"/>
          <w:lang w:val="en-CA"/>
        </w:rPr>
        <w:t>at p</w:t>
      </w:r>
      <w:r w:rsidRPr="00E17190">
        <w:rPr>
          <w:rFonts w:ascii="Times New Roman" w:hAnsi="Times New Roman"/>
          <w:sz w:val="20"/>
          <w:szCs w:val="20"/>
          <w:lang w:val="en-CA"/>
        </w:rPr>
        <w:t>ara 74.</w:t>
      </w:r>
    </w:p>
  </w:footnote>
  <w:footnote w:id="13">
    <w:p w14:paraId="371CBA06" w14:textId="77777777" w:rsidR="00792854" w:rsidRPr="00FB2DAB" w:rsidRDefault="00792854" w:rsidP="00792854">
      <w:pPr>
        <w:pStyle w:val="FootnoteText"/>
        <w:rPr>
          <w:rFonts w:ascii="Times New Roman" w:hAnsi="Times New Roman"/>
          <w:sz w:val="20"/>
          <w:szCs w:val="20"/>
          <w:lang w:val="en-CA"/>
        </w:rPr>
      </w:pPr>
      <w:r w:rsidRPr="00E17190">
        <w:rPr>
          <w:rStyle w:val="FootnoteReference"/>
          <w:rFonts w:ascii="Times New Roman" w:hAnsi="Times New Roman"/>
          <w:sz w:val="20"/>
          <w:szCs w:val="20"/>
        </w:rPr>
        <w:footnoteRef/>
      </w:r>
      <w:r w:rsidRPr="00E17190">
        <w:rPr>
          <w:rFonts w:ascii="Times New Roman" w:hAnsi="Times New Roman"/>
          <w:sz w:val="20"/>
          <w:szCs w:val="20"/>
        </w:rPr>
        <w:t xml:space="preserve"> </w:t>
      </w:r>
      <w:r>
        <w:rPr>
          <w:rFonts w:ascii="Times New Roman" w:hAnsi="Times New Roman"/>
          <w:i/>
          <w:sz w:val="20"/>
          <w:szCs w:val="20"/>
          <w:lang w:val="en-CA"/>
        </w:rPr>
        <w:t xml:space="preserve">Ibid </w:t>
      </w:r>
      <w:r>
        <w:rPr>
          <w:rFonts w:ascii="Times New Roman" w:hAnsi="Times New Roman"/>
          <w:sz w:val="20"/>
          <w:szCs w:val="20"/>
          <w:lang w:val="en-CA"/>
        </w:rPr>
        <w:t xml:space="preserve">at para 63; see </w:t>
      </w:r>
      <w:r>
        <w:rPr>
          <w:rFonts w:ascii="Times New Roman" w:hAnsi="Times New Roman"/>
          <w:i/>
          <w:sz w:val="20"/>
          <w:szCs w:val="20"/>
          <w:lang w:val="en-CA"/>
        </w:rPr>
        <w:t>R v Sparrow</w:t>
      </w:r>
      <w:r>
        <w:rPr>
          <w:rFonts w:ascii="Times New Roman" w:hAnsi="Times New Roman"/>
          <w:sz w:val="20"/>
          <w:szCs w:val="20"/>
          <w:lang w:val="en-CA"/>
        </w:rPr>
        <w:t>, [1990] 1 SCR 1075, 70 DLR (4th) 385,</w:t>
      </w:r>
      <w:r>
        <w:rPr>
          <w:rFonts w:ascii="Times New Roman" w:hAnsi="Times New Roman"/>
          <w:i/>
          <w:sz w:val="20"/>
          <w:szCs w:val="20"/>
          <w:lang w:val="en-CA"/>
        </w:rPr>
        <w:t xml:space="preserve"> </w:t>
      </w:r>
      <w:r>
        <w:rPr>
          <w:rFonts w:ascii="Times New Roman" w:hAnsi="Times New Roman"/>
          <w:sz w:val="20"/>
          <w:szCs w:val="20"/>
          <w:lang w:val="en-CA"/>
        </w:rPr>
        <w:t xml:space="preserve">at page 1114: </w:t>
      </w:r>
      <w:r w:rsidRPr="00FB2DAB">
        <w:rPr>
          <w:rFonts w:ascii="Times New Roman" w:hAnsi="Times New Roman"/>
          <w:sz w:val="20"/>
          <w:szCs w:val="20"/>
          <w:lang w:val="en-CA"/>
        </w:rPr>
        <w:t xml:space="preserve">Under the </w:t>
      </w:r>
      <w:r w:rsidRPr="00FB2DAB">
        <w:rPr>
          <w:rFonts w:ascii="Times New Roman" w:hAnsi="Times New Roman"/>
          <w:i/>
          <w:sz w:val="20"/>
          <w:szCs w:val="20"/>
          <w:lang w:val="en-CA"/>
        </w:rPr>
        <w:t>Sparrow</w:t>
      </w:r>
      <w:r w:rsidRPr="00FB2DAB">
        <w:rPr>
          <w:rFonts w:ascii="Times New Roman" w:hAnsi="Times New Roman"/>
          <w:sz w:val="20"/>
          <w:szCs w:val="20"/>
          <w:lang w:val="en-CA"/>
        </w:rPr>
        <w:t xml:space="preserve"> analysis, once the First Nations establish an Aboriginal right and a prima facie infringement of that right, the Crown bears the burden of establishing that their infringement of that right: 1) is fo</w:t>
      </w:r>
      <w:r>
        <w:rPr>
          <w:rFonts w:ascii="Times New Roman" w:hAnsi="Times New Roman"/>
          <w:sz w:val="20"/>
          <w:szCs w:val="20"/>
          <w:lang w:val="en-CA"/>
        </w:rPr>
        <w:t>r a valid legislative objective;</w:t>
      </w:r>
      <w:r w:rsidRPr="00FB2DAB">
        <w:rPr>
          <w:rFonts w:ascii="Times New Roman" w:hAnsi="Times New Roman"/>
          <w:sz w:val="20"/>
          <w:szCs w:val="20"/>
          <w:lang w:val="en-CA"/>
        </w:rPr>
        <w:t xml:space="preserve"> and 2) is consistent with the Crown’s fiduciary duty to towards First Nations.</w:t>
      </w:r>
    </w:p>
  </w:footnote>
  <w:footnote w:id="14">
    <w:p w14:paraId="64193BEA" w14:textId="77777777" w:rsidR="00792854" w:rsidRPr="00E17190" w:rsidRDefault="00792854" w:rsidP="00792854">
      <w:pPr>
        <w:pStyle w:val="FootnoteText"/>
        <w:rPr>
          <w:rFonts w:ascii="Times New Roman" w:hAnsi="Times New Roman"/>
          <w:sz w:val="20"/>
          <w:szCs w:val="20"/>
          <w:lang w:val="en-CA"/>
        </w:rPr>
      </w:pPr>
      <w:r w:rsidRPr="00E17190">
        <w:rPr>
          <w:rStyle w:val="FootnoteReference"/>
          <w:rFonts w:ascii="Times New Roman" w:hAnsi="Times New Roman"/>
          <w:sz w:val="20"/>
          <w:szCs w:val="20"/>
        </w:rPr>
        <w:footnoteRef/>
      </w:r>
      <w:r w:rsidRPr="00E17190">
        <w:rPr>
          <w:rFonts w:ascii="Times New Roman" w:hAnsi="Times New Roman"/>
          <w:sz w:val="20"/>
          <w:szCs w:val="20"/>
        </w:rPr>
        <w:t xml:space="preserve"> </w:t>
      </w:r>
      <w:r>
        <w:rPr>
          <w:rFonts w:ascii="Times New Roman" w:hAnsi="Times New Roman"/>
          <w:i/>
          <w:sz w:val="20"/>
          <w:szCs w:val="20"/>
          <w:lang w:val="en-CA"/>
        </w:rPr>
        <w:t xml:space="preserve">Ibid </w:t>
      </w:r>
      <w:r>
        <w:rPr>
          <w:rFonts w:ascii="Times New Roman" w:hAnsi="Times New Roman"/>
          <w:sz w:val="20"/>
          <w:szCs w:val="20"/>
          <w:lang w:val="en-CA"/>
        </w:rPr>
        <w:t>at p</w:t>
      </w:r>
      <w:r w:rsidRPr="00E17190">
        <w:rPr>
          <w:rFonts w:ascii="Times New Roman" w:hAnsi="Times New Roman"/>
          <w:sz w:val="20"/>
          <w:szCs w:val="20"/>
          <w:lang w:val="en-CA"/>
        </w:rPr>
        <w:t>aras 68-69.</w:t>
      </w:r>
    </w:p>
  </w:footnote>
  <w:footnote w:id="15">
    <w:p w14:paraId="371C61A4" w14:textId="77777777" w:rsidR="00792854" w:rsidRPr="00FB2532" w:rsidRDefault="00792854" w:rsidP="00792854">
      <w:pPr>
        <w:pStyle w:val="FootnoteText"/>
        <w:rPr>
          <w:rFonts w:ascii="Times New Roman" w:hAnsi="Times New Roman"/>
          <w:sz w:val="20"/>
          <w:szCs w:val="20"/>
        </w:rPr>
      </w:pPr>
      <w:r w:rsidRPr="008605BC">
        <w:rPr>
          <w:rStyle w:val="FootnoteReference"/>
          <w:rFonts w:ascii="Times New Roman" w:hAnsi="Times New Roman"/>
          <w:sz w:val="20"/>
          <w:szCs w:val="20"/>
        </w:rPr>
        <w:footnoteRef/>
      </w:r>
      <w:r w:rsidRPr="008605BC">
        <w:rPr>
          <w:rFonts w:ascii="Times New Roman" w:hAnsi="Times New Roman"/>
          <w:sz w:val="20"/>
          <w:szCs w:val="20"/>
        </w:rPr>
        <w:t xml:space="preserve"> </w:t>
      </w:r>
      <w:proofErr w:type="spellStart"/>
      <w:r w:rsidRPr="008605BC">
        <w:rPr>
          <w:rFonts w:ascii="Times New Roman" w:hAnsi="Times New Roman"/>
          <w:i/>
          <w:sz w:val="20"/>
          <w:szCs w:val="20"/>
        </w:rPr>
        <w:t>Haida</w:t>
      </w:r>
      <w:proofErr w:type="spellEnd"/>
      <w:r w:rsidRPr="008605BC">
        <w:rPr>
          <w:rFonts w:ascii="Times New Roman" w:hAnsi="Times New Roman"/>
          <w:i/>
          <w:sz w:val="20"/>
          <w:szCs w:val="20"/>
        </w:rPr>
        <w:t xml:space="preserve"> Nation v British Columbia (Minister of Forests)</w:t>
      </w:r>
      <w:r w:rsidRPr="008605BC">
        <w:rPr>
          <w:rFonts w:ascii="Times New Roman" w:hAnsi="Times New Roman"/>
          <w:sz w:val="20"/>
          <w:szCs w:val="20"/>
        </w:rPr>
        <w:t>, 2004 SCC 73, [2004] 3 SCR 511</w:t>
      </w:r>
      <w:r>
        <w:rPr>
          <w:rFonts w:ascii="Times New Roman" w:hAnsi="Times New Roman"/>
          <w:sz w:val="20"/>
          <w:szCs w:val="20"/>
        </w:rPr>
        <w:t xml:space="preserve"> [</w:t>
      </w:r>
      <w:proofErr w:type="spellStart"/>
      <w:r>
        <w:rPr>
          <w:rFonts w:ascii="Times New Roman" w:hAnsi="Times New Roman"/>
          <w:i/>
          <w:sz w:val="20"/>
          <w:szCs w:val="20"/>
        </w:rPr>
        <w:t>Haida</w:t>
      </w:r>
      <w:proofErr w:type="spellEnd"/>
      <w:r>
        <w:rPr>
          <w:rFonts w:ascii="Times New Roman" w:hAnsi="Times New Roman"/>
          <w:i/>
          <w:sz w:val="20"/>
          <w:szCs w:val="20"/>
        </w:rPr>
        <w:t xml:space="preserve"> Nation</w:t>
      </w:r>
      <w:r>
        <w:rPr>
          <w:rFonts w:ascii="Times New Roman" w:hAnsi="Times New Roman"/>
          <w:sz w:val="20"/>
          <w:szCs w:val="20"/>
        </w:rPr>
        <w:t>]</w:t>
      </w:r>
      <w:r w:rsidRPr="008605BC">
        <w:rPr>
          <w:rFonts w:ascii="Times New Roman" w:hAnsi="Times New Roman"/>
          <w:sz w:val="20"/>
          <w:szCs w:val="20"/>
        </w:rPr>
        <w:t xml:space="preserve">; </w:t>
      </w:r>
      <w:proofErr w:type="spellStart"/>
      <w:r w:rsidRPr="008605BC">
        <w:rPr>
          <w:rFonts w:ascii="Times New Roman" w:hAnsi="Times New Roman"/>
          <w:i/>
          <w:sz w:val="20"/>
          <w:szCs w:val="20"/>
        </w:rPr>
        <w:t>Taku</w:t>
      </w:r>
      <w:proofErr w:type="spellEnd"/>
      <w:r w:rsidRPr="008605BC">
        <w:rPr>
          <w:rFonts w:ascii="Times New Roman" w:hAnsi="Times New Roman"/>
          <w:i/>
          <w:sz w:val="20"/>
          <w:szCs w:val="20"/>
        </w:rPr>
        <w:t xml:space="preserve"> River Tlingit First Nation v British Columbia (Project Assessment Director)</w:t>
      </w:r>
      <w:r w:rsidRPr="008605BC">
        <w:rPr>
          <w:rFonts w:ascii="Times New Roman" w:hAnsi="Times New Roman"/>
          <w:sz w:val="20"/>
          <w:szCs w:val="20"/>
        </w:rPr>
        <w:t xml:space="preserve">, 2004 </w:t>
      </w:r>
      <w:r>
        <w:rPr>
          <w:rFonts w:ascii="Times New Roman" w:hAnsi="Times New Roman"/>
          <w:sz w:val="20"/>
          <w:szCs w:val="20"/>
        </w:rPr>
        <w:t>SCC 74, [2004] 3 SCR 550 [</w:t>
      </w:r>
      <w:proofErr w:type="spellStart"/>
      <w:r>
        <w:rPr>
          <w:rFonts w:ascii="Times New Roman" w:hAnsi="Times New Roman"/>
          <w:i/>
          <w:sz w:val="20"/>
          <w:szCs w:val="20"/>
        </w:rPr>
        <w:t>Taku</w:t>
      </w:r>
      <w:proofErr w:type="spellEnd"/>
      <w:r>
        <w:rPr>
          <w:rFonts w:ascii="Times New Roman" w:hAnsi="Times New Roman"/>
          <w:i/>
          <w:sz w:val="20"/>
          <w:szCs w:val="20"/>
        </w:rPr>
        <w:t xml:space="preserve"> River</w:t>
      </w:r>
      <w:r>
        <w:rPr>
          <w:rFonts w:ascii="Times New Roman" w:hAnsi="Times New Roman"/>
          <w:sz w:val="20"/>
          <w:szCs w:val="20"/>
        </w:rPr>
        <w:t>].</w:t>
      </w:r>
    </w:p>
  </w:footnote>
  <w:footnote w:id="16">
    <w:p w14:paraId="56DA9E0E" w14:textId="77777777" w:rsidR="00792854" w:rsidRPr="0066441E" w:rsidRDefault="00792854" w:rsidP="00792854">
      <w:pPr>
        <w:pStyle w:val="FootnoteText"/>
        <w:rPr>
          <w:rFonts w:ascii="Times New Roman" w:hAnsi="Times New Roman"/>
          <w:sz w:val="20"/>
          <w:szCs w:val="20"/>
          <w:lang w:val="en-CA"/>
        </w:rPr>
      </w:pPr>
      <w:r w:rsidRPr="0066441E">
        <w:rPr>
          <w:rStyle w:val="FootnoteReference"/>
          <w:rFonts w:ascii="Times New Roman" w:hAnsi="Times New Roman"/>
          <w:sz w:val="20"/>
          <w:szCs w:val="20"/>
        </w:rPr>
        <w:footnoteRef/>
      </w:r>
      <w:r w:rsidRPr="0066441E">
        <w:rPr>
          <w:rFonts w:ascii="Times New Roman" w:hAnsi="Times New Roman"/>
          <w:sz w:val="20"/>
          <w:szCs w:val="20"/>
        </w:rPr>
        <w:t xml:space="preserve"> </w:t>
      </w:r>
      <w:r w:rsidRPr="0066441E">
        <w:rPr>
          <w:rFonts w:ascii="Times New Roman" w:hAnsi="Times New Roman"/>
          <w:i/>
          <w:sz w:val="20"/>
          <w:szCs w:val="20"/>
          <w:lang w:val="en-CA"/>
        </w:rPr>
        <w:t>Prophet River</w:t>
      </w:r>
      <w:r>
        <w:rPr>
          <w:rFonts w:ascii="Times New Roman" w:hAnsi="Times New Roman"/>
          <w:i/>
          <w:sz w:val="20"/>
          <w:szCs w:val="20"/>
          <w:lang w:val="en-CA"/>
        </w:rPr>
        <w:t xml:space="preserve">, supra </w:t>
      </w:r>
      <w:r>
        <w:rPr>
          <w:rFonts w:ascii="Times New Roman" w:hAnsi="Times New Roman"/>
          <w:sz w:val="20"/>
          <w:szCs w:val="20"/>
          <w:lang w:val="en-CA"/>
        </w:rPr>
        <w:t>note 2,</w:t>
      </w:r>
      <w:r w:rsidRPr="0066441E">
        <w:rPr>
          <w:rFonts w:ascii="Times New Roman" w:hAnsi="Times New Roman"/>
          <w:sz w:val="20"/>
          <w:szCs w:val="20"/>
          <w:lang w:val="en-CA"/>
        </w:rPr>
        <w:t xml:space="preserve"> at para 57.</w:t>
      </w:r>
    </w:p>
  </w:footnote>
  <w:footnote w:id="17">
    <w:p w14:paraId="1BEE51E2" w14:textId="77777777" w:rsidR="00792854" w:rsidRPr="00E17190" w:rsidRDefault="00792854" w:rsidP="00792854">
      <w:pPr>
        <w:pStyle w:val="FootnoteText"/>
        <w:rPr>
          <w:rFonts w:ascii="Times New Roman" w:hAnsi="Times New Roman"/>
          <w:sz w:val="20"/>
          <w:szCs w:val="20"/>
          <w:lang w:val="en-CA"/>
        </w:rPr>
      </w:pPr>
      <w:r w:rsidRPr="00E17190">
        <w:rPr>
          <w:rStyle w:val="FootnoteReference"/>
          <w:rFonts w:ascii="Times New Roman" w:hAnsi="Times New Roman"/>
          <w:sz w:val="20"/>
          <w:szCs w:val="20"/>
        </w:rPr>
        <w:footnoteRef/>
      </w:r>
      <w:r w:rsidRPr="00E17190">
        <w:rPr>
          <w:rFonts w:ascii="Times New Roman" w:hAnsi="Times New Roman"/>
          <w:sz w:val="20"/>
          <w:szCs w:val="20"/>
        </w:rPr>
        <w:t xml:space="preserve"> </w:t>
      </w:r>
      <w:r>
        <w:rPr>
          <w:rFonts w:ascii="Times New Roman" w:hAnsi="Times New Roman"/>
          <w:i/>
          <w:sz w:val="20"/>
          <w:szCs w:val="20"/>
          <w:lang w:val="en-CA"/>
        </w:rPr>
        <w:t xml:space="preserve">Ibid </w:t>
      </w:r>
      <w:r>
        <w:rPr>
          <w:rFonts w:ascii="Times New Roman" w:hAnsi="Times New Roman"/>
          <w:sz w:val="20"/>
          <w:szCs w:val="20"/>
          <w:lang w:val="en-CA"/>
        </w:rPr>
        <w:t>at p</w:t>
      </w:r>
      <w:r w:rsidRPr="00E17190">
        <w:rPr>
          <w:rFonts w:ascii="Times New Roman" w:hAnsi="Times New Roman"/>
          <w:sz w:val="20"/>
          <w:szCs w:val="20"/>
          <w:lang w:val="en-CA"/>
        </w:rPr>
        <w:t>ara 78.</w:t>
      </w:r>
    </w:p>
  </w:footnote>
  <w:footnote w:id="18">
    <w:p w14:paraId="20C819EE" w14:textId="77777777" w:rsidR="00792854" w:rsidRPr="00561D68" w:rsidRDefault="00792854" w:rsidP="00792854">
      <w:pPr>
        <w:pStyle w:val="FootnoteText"/>
        <w:rPr>
          <w:lang w:val="en-CA"/>
        </w:rPr>
      </w:pPr>
      <w:r w:rsidRPr="00E17190">
        <w:rPr>
          <w:rStyle w:val="FootnoteReference"/>
          <w:rFonts w:ascii="Times New Roman" w:hAnsi="Times New Roman"/>
          <w:sz w:val="20"/>
          <w:szCs w:val="20"/>
        </w:rPr>
        <w:footnoteRef/>
      </w:r>
      <w:r w:rsidRPr="00E17190">
        <w:rPr>
          <w:rFonts w:ascii="Times New Roman" w:hAnsi="Times New Roman"/>
          <w:sz w:val="20"/>
          <w:szCs w:val="20"/>
        </w:rPr>
        <w:t xml:space="preserve"> </w:t>
      </w:r>
      <w:r>
        <w:rPr>
          <w:rFonts w:ascii="Times New Roman" w:hAnsi="Times New Roman"/>
          <w:i/>
          <w:sz w:val="20"/>
          <w:szCs w:val="20"/>
          <w:lang w:val="en-CA"/>
        </w:rPr>
        <w:t xml:space="preserve">Ibid </w:t>
      </w:r>
      <w:r>
        <w:rPr>
          <w:rFonts w:ascii="Times New Roman" w:hAnsi="Times New Roman"/>
          <w:sz w:val="20"/>
          <w:szCs w:val="20"/>
          <w:lang w:val="en-CA"/>
        </w:rPr>
        <w:t>at p</w:t>
      </w:r>
      <w:r w:rsidRPr="00E17190">
        <w:rPr>
          <w:rFonts w:ascii="Times New Roman" w:hAnsi="Times New Roman"/>
          <w:sz w:val="20"/>
          <w:szCs w:val="20"/>
          <w:lang w:val="en-CA"/>
        </w:rPr>
        <w:t>ara 80.</w:t>
      </w:r>
    </w:p>
  </w:footnote>
  <w:footnote w:id="19">
    <w:p w14:paraId="3797763C" w14:textId="77777777" w:rsidR="00792854" w:rsidRPr="005C32CE" w:rsidRDefault="00792854" w:rsidP="00792854">
      <w:pPr>
        <w:pStyle w:val="FootnoteText"/>
        <w:rPr>
          <w:rFonts w:ascii="Times New Roman" w:hAnsi="Times New Roman"/>
          <w:sz w:val="20"/>
          <w:szCs w:val="20"/>
          <w:lang w:val="en-CA"/>
        </w:rPr>
      </w:pPr>
      <w:r w:rsidRPr="005C32CE">
        <w:rPr>
          <w:rStyle w:val="FootnoteReference"/>
          <w:rFonts w:ascii="Times New Roman" w:hAnsi="Times New Roman"/>
          <w:sz w:val="20"/>
          <w:szCs w:val="20"/>
        </w:rPr>
        <w:footnoteRef/>
      </w:r>
      <w:r w:rsidRPr="005C32CE">
        <w:rPr>
          <w:rFonts w:ascii="Times New Roman" w:hAnsi="Times New Roman"/>
          <w:sz w:val="20"/>
          <w:szCs w:val="20"/>
        </w:rPr>
        <w:t xml:space="preserve"> </w:t>
      </w:r>
      <w:r w:rsidRPr="005C32CE">
        <w:rPr>
          <w:rFonts w:ascii="Times New Roman" w:hAnsi="Times New Roman"/>
          <w:sz w:val="20"/>
          <w:szCs w:val="20"/>
          <w:lang w:val="en-CA"/>
        </w:rPr>
        <w:t>Accommodations included: proposed Project modifications, Proponent commitments, proposals for federal and provincial conditions to be included as legally binding to any proposed Project approval, Impact Benefit Agreement offers from the Proponent, and offers from the Proponent and the Province regarding lands/land protection measures, financial contributions, and compensation funds.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DD82" w14:textId="77777777" w:rsidR="00DC4393" w:rsidRPr="00941DFE" w:rsidRDefault="00DC4393" w:rsidP="0081598A">
    <w:pPr>
      <w:pStyle w:val="Pa2"/>
      <w:rPr>
        <w:rFonts w:ascii="Futura Std Condensed" w:hAnsi="Futura Std Condensed" w:cs="Antonio"/>
        <w:color w:val="404041"/>
        <w:sz w:val="34"/>
        <w:szCs w:val="34"/>
      </w:rPr>
    </w:pPr>
    <w:r w:rsidRPr="00941DFE">
      <w:rPr>
        <w:rFonts w:ascii="Futura Std Condensed" w:hAnsi="Futura Std Condensed" w:cs="Antonio"/>
        <w:bCs/>
        <w:color w:val="404041"/>
        <w:sz w:val="34"/>
        <w:szCs w:val="34"/>
      </w:rPr>
      <w:t>WESTAWAY LAW GROUP</w:t>
    </w:r>
  </w:p>
  <w:p w14:paraId="74E7FA70" w14:textId="027F9679" w:rsidR="00DC4393" w:rsidRDefault="00DC4393" w:rsidP="00941DFE">
    <w:pPr>
      <w:pStyle w:val="Pa2"/>
      <w:rPr>
        <w:rStyle w:val="A1"/>
        <w:rFonts w:ascii="Futura Std Condensed Light" w:hAnsi="Futura Std Condensed Light"/>
      </w:rPr>
    </w:pPr>
    <w:r w:rsidRPr="00941DFE">
      <w:rPr>
        <w:rStyle w:val="A1"/>
        <w:rFonts w:ascii="Futura Std Condensed Light" w:hAnsi="Futura Std Condensed Light"/>
      </w:rPr>
      <w:t>Barristers and Solicitors</w:t>
    </w:r>
  </w:p>
  <w:p w14:paraId="73BC5621" w14:textId="77777777" w:rsidR="00DC4393" w:rsidRPr="00941DFE" w:rsidRDefault="00DC4393" w:rsidP="00941DFE">
    <w:pPr>
      <w:pStyle w:val="Default"/>
      <w:rPr>
        <w:sz w:val="8"/>
        <w:szCs w:val="8"/>
      </w:rPr>
    </w:pPr>
  </w:p>
  <w:p w14:paraId="595467B3" w14:textId="1448092B" w:rsidR="00DC4393" w:rsidRDefault="00DC4393" w:rsidP="0081598A">
    <w:pPr>
      <w:pStyle w:val="Header"/>
      <w:rPr>
        <w:rFonts w:ascii="Futura Std Condensed" w:hAnsi="Futura Std Condensed" w:cs="Antonio"/>
        <w:bCs/>
        <w:color w:val="567635"/>
        <w:sz w:val="28"/>
        <w:szCs w:val="28"/>
      </w:rPr>
    </w:pPr>
    <w:r w:rsidRPr="00941DFE">
      <w:rPr>
        <w:rFonts w:ascii="Futura Std Condensed" w:hAnsi="Futura Std Condensed" w:cs="Antonio"/>
        <w:bCs/>
        <w:color w:val="567635"/>
        <w:sz w:val="28"/>
        <w:szCs w:val="28"/>
      </w:rPr>
      <w:t>westawaylaw.ca</w:t>
    </w:r>
  </w:p>
  <w:p w14:paraId="468D9E7F" w14:textId="77777777" w:rsidR="00DC4393" w:rsidRPr="00941DFE" w:rsidRDefault="00DC4393" w:rsidP="0081598A">
    <w:pPr>
      <w:pStyle w:val="Header"/>
      <w:rPr>
        <w:rFonts w:ascii="Futura Std Condensed" w:hAnsi="Futura Std Condensed"/>
        <w:sz w:val="28"/>
        <w:szCs w:val="28"/>
      </w:rPr>
    </w:pPr>
  </w:p>
  <w:p w14:paraId="5630AE75" w14:textId="77777777" w:rsidR="00CC24F2" w:rsidRDefault="00CC24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3703" w14:textId="7D6C3D40" w:rsidR="00DC4393" w:rsidRDefault="009C1338" w:rsidP="0022073E">
    <w:pPr>
      <w:pStyle w:val="Default"/>
      <w:ind w:hanging="1134"/>
      <w:jc w:val="right"/>
    </w:pPr>
    <w:r>
      <w:rPr>
        <w:noProof/>
        <w:lang w:val="en-CA" w:eastAsia="en-CA"/>
      </w:rPr>
      <w:drawing>
        <wp:anchor distT="0" distB="0" distL="114300" distR="114300" simplePos="0" relativeHeight="251657216" behindDoc="0" locked="0" layoutInCell="1" allowOverlap="1" wp14:anchorId="640DD668" wp14:editId="413FDDA0">
          <wp:simplePos x="0" y="0"/>
          <wp:positionH relativeFrom="margin">
            <wp:align>left</wp:align>
          </wp:positionH>
          <wp:positionV relativeFrom="paragraph">
            <wp:posOffset>-1905</wp:posOffset>
          </wp:positionV>
          <wp:extent cx="1837267" cy="824766"/>
          <wp:effectExtent l="0" t="0" r="0" b="0"/>
          <wp:wrapSquare wrapText="bothSides"/>
          <wp:docPr id="17" name="Picture 17"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267" cy="824766"/>
                  </a:xfrm>
                  <a:prstGeom prst="rect">
                    <a:avLst/>
                  </a:prstGeom>
                  <a:noFill/>
                  <a:ln>
                    <a:noFill/>
                  </a:ln>
                </pic:spPr>
              </pic:pic>
            </a:graphicData>
          </a:graphic>
        </wp:anchor>
      </w:drawing>
    </w:r>
    <w:r w:rsidR="000966AA">
      <w:tab/>
    </w:r>
  </w:p>
  <w:p w14:paraId="7AA364EC" w14:textId="77777777" w:rsidR="000966AA" w:rsidRDefault="000966AA" w:rsidP="00AB1898">
    <w:pPr>
      <w:pStyle w:val="Default"/>
      <w:ind w:hanging="1134"/>
    </w:pPr>
  </w:p>
  <w:p w14:paraId="2DF6753C" w14:textId="77777777" w:rsidR="000966AA" w:rsidRDefault="000966AA" w:rsidP="00AB1898">
    <w:pPr>
      <w:pStyle w:val="Default"/>
      <w:ind w:hanging="1134"/>
    </w:pPr>
  </w:p>
  <w:p w14:paraId="62FC38A4" w14:textId="77777777" w:rsidR="000966AA" w:rsidRPr="00112870" w:rsidRDefault="000966AA" w:rsidP="00AB1898">
    <w:pPr>
      <w:pStyle w:val="Default"/>
      <w:ind w:hanging="1134"/>
    </w:pPr>
  </w:p>
  <w:p w14:paraId="2A97587E" w14:textId="7B5FD8B8" w:rsidR="00DC4393" w:rsidRPr="001621C0" w:rsidRDefault="00DC4393" w:rsidP="001621C0">
    <w:pPr>
      <w:pStyle w:val="Header"/>
      <w:tabs>
        <w:tab w:val="clear" w:pos="4320"/>
      </w:tabs>
      <w:jc w:val="right"/>
      <w:rPr>
        <w:rFonts w:ascii="Futura Std Condensed" w:hAnsi="Futura Std Condensed"/>
        <w:sz w:val="32"/>
        <w:szCs w:val="32"/>
      </w:rPr>
    </w:pPr>
  </w:p>
  <w:p w14:paraId="21D46905" w14:textId="77777777" w:rsidR="00CC24F2" w:rsidRDefault="00CC24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A416" w14:textId="78D003EA" w:rsidR="00DC4393" w:rsidRPr="001621C0" w:rsidRDefault="00B85E94" w:rsidP="0022073E">
    <w:pPr>
      <w:pStyle w:val="Header"/>
      <w:tabs>
        <w:tab w:val="clear" w:pos="4320"/>
      </w:tabs>
      <w:ind w:right="-99"/>
      <w:rPr>
        <w:rFonts w:ascii="Futura Std Condensed" w:hAnsi="Futura Std Condensed"/>
        <w:sz w:val="32"/>
        <w:szCs w:val="32"/>
      </w:rPr>
    </w:pPr>
    <w:r>
      <w:rPr>
        <w:rFonts w:ascii="Futura Std Condensed" w:hAnsi="Futura Std Condensed"/>
        <w:noProof/>
        <w:sz w:val="32"/>
        <w:szCs w:val="32"/>
        <w:lang w:val="en-CA" w:eastAsia="en-CA"/>
      </w:rPr>
      <w:drawing>
        <wp:anchor distT="0" distB="0" distL="114300" distR="114300" simplePos="0" relativeHeight="251656192" behindDoc="0" locked="0" layoutInCell="1" allowOverlap="1" wp14:anchorId="473329AB" wp14:editId="4ABD9E5A">
          <wp:simplePos x="0" y="0"/>
          <wp:positionH relativeFrom="margin">
            <wp:align>center</wp:align>
          </wp:positionH>
          <wp:positionV relativeFrom="paragraph">
            <wp:posOffset>-1905</wp:posOffset>
          </wp:positionV>
          <wp:extent cx="6877131" cy="1007534"/>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0 at 1.25.26 PM final.png"/>
                  <pic:cNvPicPr/>
                </pic:nvPicPr>
                <pic:blipFill>
                  <a:blip r:embed="rId1">
                    <a:extLst>
                      <a:ext uri="{28A0092B-C50C-407E-A947-70E740481C1C}">
                        <a14:useLocalDpi xmlns:a14="http://schemas.microsoft.com/office/drawing/2010/main" val="0"/>
                      </a:ext>
                    </a:extLst>
                  </a:blip>
                  <a:stretch>
                    <a:fillRect/>
                  </a:stretch>
                </pic:blipFill>
                <pic:spPr>
                  <a:xfrm>
                    <a:off x="0" y="0"/>
                    <a:ext cx="6877131" cy="1007534"/>
                  </a:xfrm>
                  <a:prstGeom prst="rect">
                    <a:avLst/>
                  </a:prstGeom>
                </pic:spPr>
              </pic:pic>
            </a:graphicData>
          </a:graphic>
        </wp:anchor>
      </w:drawing>
    </w:r>
  </w:p>
  <w:p w14:paraId="64034BD2" w14:textId="77777777" w:rsidR="00DC4393" w:rsidRDefault="00DC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6B1F39"/>
    <w:multiLevelType w:val="hybridMultilevel"/>
    <w:tmpl w:val="F5905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413EF6"/>
    <w:multiLevelType w:val="hybridMultilevel"/>
    <w:tmpl w:val="D3FAD23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66278"/>
    <w:multiLevelType w:val="hybridMultilevel"/>
    <w:tmpl w:val="34C827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E123E2"/>
    <w:multiLevelType w:val="hybridMultilevel"/>
    <w:tmpl w:val="98B00A7C"/>
    <w:lvl w:ilvl="0" w:tplc="10090011">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88E3EEC"/>
    <w:multiLevelType w:val="hybridMultilevel"/>
    <w:tmpl w:val="A070577E"/>
    <w:lvl w:ilvl="0" w:tplc="99DAA6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8E2397"/>
    <w:multiLevelType w:val="hybridMultilevel"/>
    <w:tmpl w:val="6AE8B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7528EE"/>
    <w:multiLevelType w:val="hybridMultilevel"/>
    <w:tmpl w:val="E39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B7A9D"/>
    <w:multiLevelType w:val="hybridMultilevel"/>
    <w:tmpl w:val="48C05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885868"/>
    <w:multiLevelType w:val="hybridMultilevel"/>
    <w:tmpl w:val="A0080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24"/>
    <w:rsid w:val="00013730"/>
    <w:rsid w:val="00014857"/>
    <w:rsid w:val="00022666"/>
    <w:rsid w:val="000463CB"/>
    <w:rsid w:val="00050BEB"/>
    <w:rsid w:val="000808D7"/>
    <w:rsid w:val="0008602A"/>
    <w:rsid w:val="000966AA"/>
    <w:rsid w:val="000A1AB0"/>
    <w:rsid w:val="000A3EAF"/>
    <w:rsid w:val="000C458B"/>
    <w:rsid w:val="000E614A"/>
    <w:rsid w:val="000F1004"/>
    <w:rsid w:val="001127B3"/>
    <w:rsid w:val="00112870"/>
    <w:rsid w:val="00122402"/>
    <w:rsid w:val="001425A6"/>
    <w:rsid w:val="001621C0"/>
    <w:rsid w:val="00171FA0"/>
    <w:rsid w:val="00174354"/>
    <w:rsid w:val="00180C67"/>
    <w:rsid w:val="00182F9C"/>
    <w:rsid w:val="001D55B6"/>
    <w:rsid w:val="001E223A"/>
    <w:rsid w:val="001F31D7"/>
    <w:rsid w:val="002012D1"/>
    <w:rsid w:val="00213DE5"/>
    <w:rsid w:val="002159F9"/>
    <w:rsid w:val="0022073E"/>
    <w:rsid w:val="0024495D"/>
    <w:rsid w:val="002724AE"/>
    <w:rsid w:val="002D1BBB"/>
    <w:rsid w:val="00311D33"/>
    <w:rsid w:val="00347D91"/>
    <w:rsid w:val="003705FE"/>
    <w:rsid w:val="003C0144"/>
    <w:rsid w:val="003F433F"/>
    <w:rsid w:val="0040546F"/>
    <w:rsid w:val="00407B0C"/>
    <w:rsid w:val="00421BB6"/>
    <w:rsid w:val="00422E48"/>
    <w:rsid w:val="004818CE"/>
    <w:rsid w:val="0049181D"/>
    <w:rsid w:val="004C06E3"/>
    <w:rsid w:val="004C5DC8"/>
    <w:rsid w:val="004F4217"/>
    <w:rsid w:val="004F5E25"/>
    <w:rsid w:val="00561D68"/>
    <w:rsid w:val="00572E3A"/>
    <w:rsid w:val="005A0DBC"/>
    <w:rsid w:val="005A1106"/>
    <w:rsid w:val="005A3FC2"/>
    <w:rsid w:val="005A4A1C"/>
    <w:rsid w:val="005C476E"/>
    <w:rsid w:val="005F37F8"/>
    <w:rsid w:val="00600233"/>
    <w:rsid w:val="00617EA9"/>
    <w:rsid w:val="00656894"/>
    <w:rsid w:val="0066441E"/>
    <w:rsid w:val="006733A5"/>
    <w:rsid w:val="006B21B5"/>
    <w:rsid w:val="006B3D91"/>
    <w:rsid w:val="006B6C12"/>
    <w:rsid w:val="007001B1"/>
    <w:rsid w:val="00730E1D"/>
    <w:rsid w:val="00752A0F"/>
    <w:rsid w:val="007759EF"/>
    <w:rsid w:val="00791F37"/>
    <w:rsid w:val="00792854"/>
    <w:rsid w:val="007B6286"/>
    <w:rsid w:val="0081598A"/>
    <w:rsid w:val="008303BA"/>
    <w:rsid w:val="008437D1"/>
    <w:rsid w:val="00853B19"/>
    <w:rsid w:val="008605BC"/>
    <w:rsid w:val="0088415F"/>
    <w:rsid w:val="00886F2D"/>
    <w:rsid w:val="008A0491"/>
    <w:rsid w:val="008A3975"/>
    <w:rsid w:val="008A5B73"/>
    <w:rsid w:val="008C64E9"/>
    <w:rsid w:val="00923896"/>
    <w:rsid w:val="00941DFE"/>
    <w:rsid w:val="00982DC6"/>
    <w:rsid w:val="00987C35"/>
    <w:rsid w:val="009C1338"/>
    <w:rsid w:val="009D1C23"/>
    <w:rsid w:val="009F073E"/>
    <w:rsid w:val="00A32239"/>
    <w:rsid w:val="00A56DBE"/>
    <w:rsid w:val="00A64D5D"/>
    <w:rsid w:val="00A730A3"/>
    <w:rsid w:val="00A7554E"/>
    <w:rsid w:val="00A801E6"/>
    <w:rsid w:val="00A93B79"/>
    <w:rsid w:val="00A95F46"/>
    <w:rsid w:val="00A97403"/>
    <w:rsid w:val="00AB01C8"/>
    <w:rsid w:val="00AB1898"/>
    <w:rsid w:val="00AB25F4"/>
    <w:rsid w:val="00AC4C0C"/>
    <w:rsid w:val="00AF05EB"/>
    <w:rsid w:val="00B02997"/>
    <w:rsid w:val="00B257C6"/>
    <w:rsid w:val="00B568B3"/>
    <w:rsid w:val="00B60B5B"/>
    <w:rsid w:val="00B85300"/>
    <w:rsid w:val="00B85E94"/>
    <w:rsid w:val="00BA53C6"/>
    <w:rsid w:val="00BC786E"/>
    <w:rsid w:val="00BF0A7B"/>
    <w:rsid w:val="00C05BF3"/>
    <w:rsid w:val="00C07C94"/>
    <w:rsid w:val="00C25981"/>
    <w:rsid w:val="00C34B1D"/>
    <w:rsid w:val="00C375D6"/>
    <w:rsid w:val="00C576ED"/>
    <w:rsid w:val="00C75C30"/>
    <w:rsid w:val="00CB15D1"/>
    <w:rsid w:val="00CC24F2"/>
    <w:rsid w:val="00CC250A"/>
    <w:rsid w:val="00CD521B"/>
    <w:rsid w:val="00D018A3"/>
    <w:rsid w:val="00D23606"/>
    <w:rsid w:val="00D265D4"/>
    <w:rsid w:val="00D542B0"/>
    <w:rsid w:val="00DC4393"/>
    <w:rsid w:val="00DD2F63"/>
    <w:rsid w:val="00DE40E6"/>
    <w:rsid w:val="00DF6118"/>
    <w:rsid w:val="00E17190"/>
    <w:rsid w:val="00E24875"/>
    <w:rsid w:val="00E24BC7"/>
    <w:rsid w:val="00E27833"/>
    <w:rsid w:val="00E55371"/>
    <w:rsid w:val="00E677AE"/>
    <w:rsid w:val="00E70424"/>
    <w:rsid w:val="00E72C98"/>
    <w:rsid w:val="00E87CE3"/>
    <w:rsid w:val="00E970D5"/>
    <w:rsid w:val="00EE0F7E"/>
    <w:rsid w:val="00FB2532"/>
    <w:rsid w:val="00FB2DAB"/>
    <w:rsid w:val="00FD56F5"/>
    <w:rsid w:val="00FD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0C82C"/>
  <w15:docId w15:val="{8B13EFEB-4937-4F7C-B16D-E5F7216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C05BF3"/>
    <w:pPr>
      <w:keepNext/>
      <w:keepLines/>
      <w:spacing w:before="240" w:line="259" w:lineRule="auto"/>
      <w:outlineLvl w:val="0"/>
    </w:pPr>
    <w:rPr>
      <w:rFonts w:asciiTheme="majorHAnsi" w:eastAsiaTheme="majorEastAsia" w:hAnsiTheme="majorHAnsi" w:cstheme="majorBidi"/>
      <w:b/>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24"/>
    <w:pPr>
      <w:tabs>
        <w:tab w:val="center" w:pos="4320"/>
        <w:tab w:val="right" w:pos="8640"/>
      </w:tabs>
    </w:pPr>
  </w:style>
  <w:style w:type="character" w:customStyle="1" w:styleId="HeaderChar">
    <w:name w:val="Header Char"/>
    <w:basedOn w:val="DefaultParagraphFont"/>
    <w:link w:val="Header"/>
    <w:uiPriority w:val="99"/>
    <w:rsid w:val="00E70424"/>
  </w:style>
  <w:style w:type="paragraph" w:styleId="Footer">
    <w:name w:val="footer"/>
    <w:basedOn w:val="Normal"/>
    <w:link w:val="FooterChar"/>
    <w:uiPriority w:val="99"/>
    <w:unhideWhenUsed/>
    <w:rsid w:val="00E70424"/>
    <w:pPr>
      <w:tabs>
        <w:tab w:val="center" w:pos="4320"/>
        <w:tab w:val="right" w:pos="8640"/>
      </w:tabs>
    </w:pPr>
  </w:style>
  <w:style w:type="character" w:customStyle="1" w:styleId="FooterChar">
    <w:name w:val="Footer Char"/>
    <w:basedOn w:val="DefaultParagraphFont"/>
    <w:link w:val="Footer"/>
    <w:uiPriority w:val="99"/>
    <w:rsid w:val="00E70424"/>
  </w:style>
  <w:style w:type="table" w:styleId="LightShading-Accent1">
    <w:name w:val="Light Shading Accent 1"/>
    <w:basedOn w:val="TableNormal"/>
    <w:uiPriority w:val="60"/>
    <w:rsid w:val="00E70424"/>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1621C0"/>
    <w:rPr>
      <w:rFonts w:ascii="Lucida Grande" w:hAnsi="Lucida Grande" w:cs="Lucida Grande"/>
      <w:sz w:val="18"/>
      <w:szCs w:val="18"/>
    </w:rPr>
  </w:style>
  <w:style w:type="character" w:customStyle="1" w:styleId="BalloonTextChar">
    <w:name w:val="Balloon Text Char"/>
    <w:link w:val="BalloonText"/>
    <w:uiPriority w:val="99"/>
    <w:semiHidden/>
    <w:rsid w:val="001621C0"/>
    <w:rPr>
      <w:rFonts w:ascii="Lucida Grande" w:hAnsi="Lucida Grande" w:cs="Lucida Grande"/>
      <w:sz w:val="18"/>
      <w:szCs w:val="18"/>
    </w:rPr>
  </w:style>
  <w:style w:type="paragraph" w:customStyle="1" w:styleId="Default">
    <w:name w:val="Default"/>
    <w:rsid w:val="001621C0"/>
    <w:pPr>
      <w:widowControl w:val="0"/>
      <w:autoSpaceDE w:val="0"/>
      <w:autoSpaceDN w:val="0"/>
      <w:adjustRightInd w:val="0"/>
    </w:pPr>
    <w:rPr>
      <w:rFonts w:ascii="Antonio" w:hAnsi="Antonio" w:cs="Antonio"/>
      <w:color w:val="000000"/>
      <w:sz w:val="24"/>
      <w:szCs w:val="24"/>
      <w:lang w:val="en-US"/>
    </w:rPr>
  </w:style>
  <w:style w:type="paragraph" w:customStyle="1" w:styleId="Pa1">
    <w:name w:val="Pa1"/>
    <w:basedOn w:val="Default"/>
    <w:next w:val="Default"/>
    <w:uiPriority w:val="99"/>
    <w:rsid w:val="001621C0"/>
    <w:pPr>
      <w:spacing w:line="241" w:lineRule="atLeast"/>
    </w:pPr>
    <w:rPr>
      <w:rFonts w:cs="Times New Roman"/>
      <w:color w:val="auto"/>
    </w:rPr>
  </w:style>
  <w:style w:type="character" w:customStyle="1" w:styleId="A1">
    <w:name w:val="A1"/>
    <w:uiPriority w:val="99"/>
    <w:rsid w:val="001621C0"/>
    <w:rPr>
      <w:rFonts w:cs="Antonio"/>
      <w:color w:val="404041"/>
      <w:sz w:val="22"/>
      <w:szCs w:val="22"/>
    </w:rPr>
  </w:style>
  <w:style w:type="paragraph" w:styleId="NoSpacing">
    <w:name w:val="No Spacing"/>
    <w:link w:val="NoSpacingChar"/>
    <w:uiPriority w:val="1"/>
    <w:qFormat/>
    <w:rsid w:val="00122402"/>
    <w:rPr>
      <w:rFonts w:ascii="PMingLiU" w:hAnsi="PMingLiU"/>
      <w:sz w:val="22"/>
      <w:szCs w:val="22"/>
      <w:lang w:val="en-US"/>
    </w:rPr>
  </w:style>
  <w:style w:type="character" w:customStyle="1" w:styleId="NoSpacingChar">
    <w:name w:val="No Spacing Char"/>
    <w:link w:val="NoSpacing"/>
    <w:rsid w:val="00122402"/>
    <w:rPr>
      <w:rFonts w:ascii="PMingLiU" w:hAnsi="PMingLiU"/>
      <w:sz w:val="22"/>
      <w:szCs w:val="22"/>
    </w:rPr>
  </w:style>
  <w:style w:type="table" w:styleId="TableGrid">
    <w:name w:val="Table Grid"/>
    <w:basedOn w:val="TableNormal"/>
    <w:uiPriority w:val="59"/>
    <w:rsid w:val="00112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1598A"/>
  </w:style>
  <w:style w:type="character" w:customStyle="1" w:styleId="FootnoteTextChar">
    <w:name w:val="Footnote Text Char"/>
    <w:basedOn w:val="DefaultParagraphFont"/>
    <w:link w:val="FootnoteText"/>
    <w:uiPriority w:val="99"/>
    <w:rsid w:val="0081598A"/>
  </w:style>
  <w:style w:type="character" w:styleId="FootnoteReference">
    <w:name w:val="footnote reference"/>
    <w:uiPriority w:val="99"/>
    <w:unhideWhenUsed/>
    <w:rsid w:val="0081598A"/>
    <w:rPr>
      <w:vertAlign w:val="superscript"/>
    </w:rPr>
  </w:style>
  <w:style w:type="paragraph" w:customStyle="1" w:styleId="Pa2">
    <w:name w:val="Pa2"/>
    <w:basedOn w:val="Default"/>
    <w:next w:val="Default"/>
    <w:uiPriority w:val="99"/>
    <w:rsid w:val="0081598A"/>
    <w:pPr>
      <w:spacing w:line="241" w:lineRule="atLeast"/>
    </w:pPr>
    <w:rPr>
      <w:rFonts w:cs="Times New Roman"/>
      <w:color w:val="auto"/>
    </w:rPr>
  </w:style>
  <w:style w:type="character" w:styleId="Hyperlink">
    <w:name w:val="Hyperlink"/>
    <w:basedOn w:val="DefaultParagraphFont"/>
    <w:uiPriority w:val="99"/>
    <w:unhideWhenUsed/>
    <w:rsid w:val="000C458B"/>
    <w:rPr>
      <w:color w:val="0000FF" w:themeColor="hyperlink"/>
      <w:u w:val="single"/>
    </w:rPr>
  </w:style>
  <w:style w:type="character" w:customStyle="1" w:styleId="Heading1Char">
    <w:name w:val="Heading 1 Char"/>
    <w:basedOn w:val="DefaultParagraphFont"/>
    <w:link w:val="Heading1"/>
    <w:uiPriority w:val="9"/>
    <w:rsid w:val="00C05BF3"/>
    <w:rPr>
      <w:rFonts w:asciiTheme="majorHAnsi" w:eastAsiaTheme="majorEastAsia" w:hAnsiTheme="majorHAnsi" w:cstheme="majorBidi"/>
      <w:b/>
      <w:sz w:val="32"/>
      <w:szCs w:val="32"/>
    </w:rPr>
  </w:style>
  <w:style w:type="paragraph" w:styleId="NormalWeb">
    <w:name w:val="Normal (Web)"/>
    <w:basedOn w:val="Normal"/>
    <w:uiPriority w:val="99"/>
    <w:unhideWhenUsed/>
    <w:rsid w:val="00C05BF3"/>
    <w:pPr>
      <w:spacing w:before="100" w:beforeAutospacing="1" w:after="100" w:afterAutospacing="1"/>
    </w:pPr>
    <w:rPr>
      <w:rFonts w:ascii="Times New Roman" w:eastAsiaTheme="minorHAnsi" w:hAnsi="Times New Roman"/>
      <w:lang w:val="en-CA" w:eastAsia="en-CA"/>
    </w:rPr>
  </w:style>
  <w:style w:type="character" w:styleId="Strong">
    <w:name w:val="Strong"/>
    <w:basedOn w:val="DefaultParagraphFont"/>
    <w:uiPriority w:val="22"/>
    <w:qFormat/>
    <w:rsid w:val="00E677AE"/>
    <w:rPr>
      <w:b/>
      <w:bCs/>
    </w:rPr>
  </w:style>
  <w:style w:type="paragraph" w:styleId="ListParagraph">
    <w:name w:val="List Paragraph"/>
    <w:basedOn w:val="Normal"/>
    <w:uiPriority w:val="34"/>
    <w:qFormat/>
    <w:rsid w:val="0018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9770">
      <w:bodyDiv w:val="1"/>
      <w:marLeft w:val="0"/>
      <w:marRight w:val="0"/>
      <w:marTop w:val="0"/>
      <w:marBottom w:val="0"/>
      <w:divBdr>
        <w:top w:val="none" w:sz="0" w:space="0" w:color="auto"/>
        <w:left w:val="none" w:sz="0" w:space="0" w:color="auto"/>
        <w:bottom w:val="none" w:sz="0" w:space="0" w:color="auto"/>
        <w:right w:val="none" w:sz="0" w:space="0" w:color="auto"/>
      </w:divBdr>
    </w:div>
    <w:div w:id="489248628">
      <w:bodyDiv w:val="1"/>
      <w:marLeft w:val="0"/>
      <w:marRight w:val="0"/>
      <w:marTop w:val="0"/>
      <w:marBottom w:val="0"/>
      <w:divBdr>
        <w:top w:val="none" w:sz="0" w:space="0" w:color="auto"/>
        <w:left w:val="none" w:sz="0" w:space="0" w:color="auto"/>
        <w:bottom w:val="none" w:sz="0" w:space="0" w:color="auto"/>
        <w:right w:val="none" w:sz="0" w:space="0" w:color="auto"/>
      </w:divBdr>
    </w:div>
    <w:div w:id="1267470617">
      <w:bodyDiv w:val="1"/>
      <w:marLeft w:val="0"/>
      <w:marRight w:val="0"/>
      <w:marTop w:val="0"/>
      <w:marBottom w:val="0"/>
      <w:divBdr>
        <w:top w:val="none" w:sz="0" w:space="0" w:color="auto"/>
        <w:left w:val="none" w:sz="0" w:space="0" w:color="auto"/>
        <w:bottom w:val="none" w:sz="0" w:space="0" w:color="auto"/>
        <w:right w:val="none" w:sz="0" w:space="0" w:color="auto"/>
      </w:divBdr>
    </w:div>
    <w:div w:id="1513447622">
      <w:bodyDiv w:val="1"/>
      <w:marLeft w:val="0"/>
      <w:marRight w:val="0"/>
      <w:marTop w:val="0"/>
      <w:marBottom w:val="0"/>
      <w:divBdr>
        <w:top w:val="none" w:sz="0" w:space="0" w:color="auto"/>
        <w:left w:val="none" w:sz="0" w:space="0" w:color="auto"/>
        <w:bottom w:val="none" w:sz="0" w:space="0" w:color="auto"/>
        <w:right w:val="none" w:sz="0" w:space="0" w:color="auto"/>
      </w:divBdr>
    </w:div>
    <w:div w:id="1599867356">
      <w:bodyDiv w:val="1"/>
      <w:marLeft w:val="0"/>
      <w:marRight w:val="0"/>
      <w:marTop w:val="0"/>
      <w:marBottom w:val="0"/>
      <w:divBdr>
        <w:top w:val="none" w:sz="0" w:space="0" w:color="auto"/>
        <w:left w:val="none" w:sz="0" w:space="0" w:color="auto"/>
        <w:bottom w:val="none" w:sz="0" w:space="0" w:color="auto"/>
        <w:right w:val="none" w:sz="0" w:space="0" w:color="auto"/>
      </w:divBdr>
    </w:div>
    <w:div w:id="1904565405">
      <w:bodyDiv w:val="1"/>
      <w:marLeft w:val="0"/>
      <w:marRight w:val="0"/>
      <w:marTop w:val="0"/>
      <w:marBottom w:val="0"/>
      <w:divBdr>
        <w:top w:val="none" w:sz="0" w:space="0" w:color="auto"/>
        <w:left w:val="none" w:sz="0" w:space="0" w:color="auto"/>
        <w:bottom w:val="none" w:sz="0" w:space="0" w:color="auto"/>
        <w:right w:val="none" w:sz="0" w:space="0" w:color="auto"/>
      </w:divBdr>
    </w:div>
    <w:div w:id="1954482819">
      <w:bodyDiv w:val="1"/>
      <w:marLeft w:val="0"/>
      <w:marRight w:val="0"/>
      <w:marTop w:val="0"/>
      <w:marBottom w:val="0"/>
      <w:divBdr>
        <w:top w:val="none" w:sz="0" w:space="0" w:color="auto"/>
        <w:left w:val="none" w:sz="0" w:space="0" w:color="auto"/>
        <w:bottom w:val="none" w:sz="0" w:space="0" w:color="auto"/>
        <w:right w:val="none" w:sz="0" w:space="0" w:color="auto"/>
      </w:divBdr>
      <w:divsChild>
        <w:div w:id="1758164753">
          <w:marLeft w:val="0"/>
          <w:marRight w:val="0"/>
          <w:marTop w:val="0"/>
          <w:marBottom w:val="0"/>
          <w:divBdr>
            <w:top w:val="none" w:sz="0" w:space="0" w:color="auto"/>
            <w:left w:val="none" w:sz="0" w:space="0" w:color="auto"/>
            <w:bottom w:val="none" w:sz="0" w:space="0" w:color="auto"/>
            <w:right w:val="none" w:sz="0" w:space="0" w:color="auto"/>
          </w:divBdr>
          <w:divsChild>
            <w:div w:id="1972663547">
              <w:marLeft w:val="0"/>
              <w:marRight w:val="0"/>
              <w:marTop w:val="0"/>
              <w:marBottom w:val="0"/>
              <w:divBdr>
                <w:top w:val="none" w:sz="0" w:space="0" w:color="auto"/>
                <w:left w:val="none" w:sz="0" w:space="0" w:color="auto"/>
                <w:bottom w:val="none" w:sz="0" w:space="0" w:color="auto"/>
                <w:right w:val="none" w:sz="0" w:space="0" w:color="auto"/>
              </w:divBdr>
              <w:divsChild>
                <w:div w:id="1261839689">
                  <w:marLeft w:val="0"/>
                  <w:marRight w:val="0"/>
                  <w:marTop w:val="0"/>
                  <w:marBottom w:val="0"/>
                  <w:divBdr>
                    <w:top w:val="none" w:sz="0" w:space="0" w:color="auto"/>
                    <w:left w:val="none" w:sz="0" w:space="0" w:color="auto"/>
                    <w:bottom w:val="none" w:sz="0" w:space="0" w:color="auto"/>
                    <w:right w:val="none" w:sz="0" w:space="0" w:color="auto"/>
                  </w:divBdr>
                  <w:divsChild>
                    <w:div w:id="753478711">
                      <w:marLeft w:val="0"/>
                      <w:marRight w:val="0"/>
                      <w:marTop w:val="0"/>
                      <w:marBottom w:val="0"/>
                      <w:divBdr>
                        <w:top w:val="none" w:sz="0" w:space="0" w:color="auto"/>
                        <w:left w:val="none" w:sz="0" w:space="0" w:color="auto"/>
                        <w:bottom w:val="none" w:sz="0" w:space="0" w:color="auto"/>
                        <w:right w:val="none" w:sz="0" w:space="0" w:color="auto"/>
                      </w:divBdr>
                      <w:divsChild>
                        <w:div w:id="2359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572148">
      <w:bodyDiv w:val="1"/>
      <w:marLeft w:val="0"/>
      <w:marRight w:val="0"/>
      <w:marTop w:val="0"/>
      <w:marBottom w:val="0"/>
      <w:divBdr>
        <w:top w:val="none" w:sz="0" w:space="0" w:color="auto"/>
        <w:left w:val="none" w:sz="0" w:space="0" w:color="auto"/>
        <w:bottom w:val="none" w:sz="0" w:space="0" w:color="auto"/>
        <w:right w:val="none" w:sz="0" w:space="0" w:color="auto"/>
      </w:divBdr>
      <w:divsChild>
        <w:div w:id="1759327575">
          <w:marLeft w:val="0"/>
          <w:marRight w:val="0"/>
          <w:marTop w:val="0"/>
          <w:marBottom w:val="0"/>
          <w:divBdr>
            <w:top w:val="none" w:sz="0" w:space="0" w:color="auto"/>
            <w:left w:val="none" w:sz="0" w:space="0" w:color="auto"/>
            <w:bottom w:val="none" w:sz="0" w:space="0" w:color="auto"/>
            <w:right w:val="none" w:sz="0" w:space="0" w:color="auto"/>
          </w:divBdr>
        </w:div>
        <w:div w:id="1522552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Westaway Law Group Professional Corporation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176738-BA71-430A-85CB-C5D1FD1E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5718</Characters>
  <Application>Microsoft Office Word</Application>
  <DocSecurity>0</DocSecurity>
  <PresentationFormat/>
  <Lines>107</Lines>
  <Paragraphs>35</Paragraphs>
  <ScaleCrop>false</ScaleCrop>
  <HeadingPairs>
    <vt:vector size="2" baseType="variant">
      <vt:variant>
        <vt:lpstr>Title</vt:lpstr>
      </vt:variant>
      <vt:variant>
        <vt:i4>1</vt:i4>
      </vt:variant>
    </vt:vector>
  </HeadingPairs>
  <TitlesOfParts>
    <vt:vector size="1" baseType="lpstr">
      <vt:lpstr>().</vt:lpstr>
    </vt:vector>
  </TitlesOfParts>
  <Company>Design de Plume</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wdNOSTAMP</dc:subject>
  <dc:creator>Design de Plume</dc:creator>
  <cp:keywords/>
  <dc:description/>
  <cp:lastModifiedBy>Heather Webster</cp:lastModifiedBy>
  <cp:revision>3</cp:revision>
  <cp:lastPrinted>2017-07-20T18:30:00Z</cp:lastPrinted>
  <dcterms:created xsi:type="dcterms:W3CDTF">2017-08-10T16:36:00Z</dcterms:created>
  <dcterms:modified xsi:type="dcterms:W3CDTF">2017-08-10T16:36:00Z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1/19/2017 4:46:01 PM</vt:lpwstr>
  </property>
  <property fmtid="{D5CDD505-2E9C-101B-9397-08002B2CF9AE}" pid="3" name="_MarkAsFinal">
    <vt:bool>true</vt:bool>
  </property>
</Properties>
</file>