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1B01C" w14:textId="5D8CEBD1" w:rsidR="00966194" w:rsidRPr="00966194" w:rsidRDefault="00472F16" w:rsidP="00966194">
      <w:pPr>
        <w:spacing w:line="259" w:lineRule="auto"/>
        <w:jc w:val="both"/>
        <w:rPr>
          <w:rFonts w:ascii="Times New Roman" w:eastAsia="Calibri" w:hAnsi="Times New Roman"/>
          <w:b/>
          <w:sz w:val="28"/>
          <w:szCs w:val="28"/>
        </w:rPr>
      </w:pPr>
      <w:r w:rsidRPr="00966194">
        <w:rPr>
          <w:rFonts w:ascii="Times New Roman" w:eastAsia="Calibri" w:hAnsi="Times New Roman"/>
          <w:b/>
          <w:sz w:val="28"/>
          <w:szCs w:val="28"/>
        </w:rPr>
        <w:t xml:space="preserve">Case Brief </w:t>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r>
      <w:r w:rsidR="00966194" w:rsidRPr="00966194">
        <w:rPr>
          <w:rFonts w:ascii="Times New Roman" w:eastAsia="Calibri" w:hAnsi="Times New Roman"/>
          <w:b/>
          <w:sz w:val="28"/>
          <w:szCs w:val="28"/>
        </w:rPr>
        <w:tab/>
        <w:t>July 2017</w:t>
      </w:r>
    </w:p>
    <w:p w14:paraId="023FAB23" w14:textId="1F330ECF" w:rsidR="00966194" w:rsidRPr="00966194" w:rsidRDefault="00EB0626" w:rsidP="00966194">
      <w:pPr>
        <w:spacing w:line="259" w:lineRule="auto"/>
        <w:jc w:val="both"/>
        <w:rPr>
          <w:rFonts w:ascii="Times New Roman" w:eastAsia="Calibri" w:hAnsi="Times New Roman"/>
          <w:b/>
          <w:sz w:val="48"/>
          <w:szCs w:val="48"/>
        </w:rPr>
      </w:pPr>
      <w:r>
        <w:rPr>
          <w:rFonts w:ascii="Times New Roman" w:eastAsia="Calibri" w:hAnsi="Times New Roman"/>
          <w:b/>
          <w:sz w:val="48"/>
          <w:szCs w:val="48"/>
        </w:rPr>
        <w:t>No Injunction to Protect Treaty Rights in B.C.</w:t>
      </w:r>
    </w:p>
    <w:p w14:paraId="0611DD56" w14:textId="5E581317" w:rsidR="00472F16" w:rsidRPr="00966194" w:rsidRDefault="00472F16" w:rsidP="00966194">
      <w:pPr>
        <w:pBdr>
          <w:bottom w:val="single" w:sz="6" w:space="1" w:color="auto"/>
        </w:pBdr>
        <w:spacing w:line="259" w:lineRule="auto"/>
        <w:jc w:val="both"/>
        <w:rPr>
          <w:rFonts w:ascii="Times New Roman" w:hAnsi="Times New Roman"/>
          <w:b/>
          <w:sz w:val="28"/>
          <w:szCs w:val="28"/>
        </w:rPr>
      </w:pPr>
      <w:proofErr w:type="spellStart"/>
      <w:r w:rsidRPr="00966194">
        <w:rPr>
          <w:rFonts w:ascii="Times New Roman" w:hAnsi="Times New Roman"/>
          <w:b/>
          <w:i/>
          <w:sz w:val="28"/>
          <w:szCs w:val="28"/>
        </w:rPr>
        <w:t>Yahey</w:t>
      </w:r>
      <w:proofErr w:type="spellEnd"/>
      <w:r w:rsidRPr="00966194">
        <w:rPr>
          <w:rFonts w:ascii="Times New Roman" w:hAnsi="Times New Roman"/>
          <w:b/>
          <w:i/>
          <w:sz w:val="28"/>
          <w:szCs w:val="28"/>
        </w:rPr>
        <w:t xml:space="preserve"> v. British Columbia</w:t>
      </w:r>
      <w:r w:rsidR="00966194" w:rsidRPr="00966194">
        <w:rPr>
          <w:rFonts w:ascii="Times New Roman" w:hAnsi="Times New Roman"/>
          <w:b/>
          <w:i/>
          <w:sz w:val="28"/>
          <w:szCs w:val="28"/>
        </w:rPr>
        <w:t xml:space="preserve">, </w:t>
      </w:r>
      <w:r w:rsidRPr="00966194">
        <w:rPr>
          <w:rFonts w:ascii="Times New Roman" w:hAnsi="Times New Roman"/>
          <w:b/>
          <w:sz w:val="28"/>
          <w:szCs w:val="28"/>
        </w:rPr>
        <w:t>2017 BCSC 899</w:t>
      </w:r>
    </w:p>
    <w:p w14:paraId="48959211" w14:textId="77777777" w:rsidR="008401EC" w:rsidRPr="00966194" w:rsidRDefault="008401EC" w:rsidP="00472F16">
      <w:pPr>
        <w:rPr>
          <w:rFonts w:ascii="Times New Roman" w:hAnsi="Times New Roman"/>
        </w:rPr>
      </w:pPr>
    </w:p>
    <w:p w14:paraId="586DA97C" w14:textId="6B396E8A" w:rsidR="000657B2" w:rsidRDefault="000657B2" w:rsidP="00966194">
      <w:pPr>
        <w:rPr>
          <w:rFonts w:ascii="Times New Roman" w:hAnsi="Times New Roman"/>
        </w:rPr>
      </w:pPr>
      <w:r w:rsidRPr="00966194">
        <w:rPr>
          <w:rFonts w:ascii="Times New Roman" w:hAnsi="Times New Roman"/>
        </w:rPr>
        <w:t xml:space="preserve">In </w:t>
      </w:r>
      <w:r w:rsidR="00966194">
        <w:rPr>
          <w:rFonts w:ascii="Times New Roman" w:hAnsi="Times New Roman"/>
        </w:rPr>
        <w:t>this case,</w:t>
      </w:r>
      <w:r w:rsidRPr="00966194">
        <w:rPr>
          <w:rFonts w:ascii="Times New Roman" w:hAnsi="Times New Roman"/>
        </w:rPr>
        <w:t xml:space="preserve"> the Supreme Court of British Columbia dismissed </w:t>
      </w:r>
      <w:r w:rsidR="00272F09">
        <w:rPr>
          <w:rFonts w:ascii="Times New Roman" w:hAnsi="Times New Roman"/>
        </w:rPr>
        <w:t>the application of Blueberry River First Nation</w:t>
      </w:r>
      <w:r w:rsidRPr="00966194">
        <w:rPr>
          <w:rFonts w:ascii="Times New Roman" w:hAnsi="Times New Roman"/>
        </w:rPr>
        <w:t xml:space="preserve"> for an interlocutory injunction</w:t>
      </w:r>
      <w:r w:rsidR="00272F09">
        <w:rPr>
          <w:rFonts w:ascii="Times New Roman" w:hAnsi="Times New Roman"/>
        </w:rPr>
        <w:t>. The First Nation asked that the Province stop all further</w:t>
      </w:r>
      <w:r w:rsidRPr="00966194">
        <w:rPr>
          <w:rFonts w:ascii="Times New Roman" w:hAnsi="Times New Roman"/>
        </w:rPr>
        <w:t xml:space="preserve"> permitting </w:t>
      </w:r>
      <w:r w:rsidR="00272F09">
        <w:rPr>
          <w:rFonts w:ascii="Times New Roman" w:hAnsi="Times New Roman"/>
        </w:rPr>
        <w:t>of</w:t>
      </w:r>
      <w:r w:rsidRPr="00966194">
        <w:rPr>
          <w:rFonts w:ascii="Times New Roman" w:hAnsi="Times New Roman"/>
        </w:rPr>
        <w:t xml:space="preserve"> industrial development in segments of its traditional territory pending trial of its action </w:t>
      </w:r>
      <w:r w:rsidR="00272F09">
        <w:rPr>
          <w:rFonts w:ascii="Times New Roman" w:hAnsi="Times New Roman"/>
        </w:rPr>
        <w:t>for</w:t>
      </w:r>
      <w:r w:rsidRPr="00966194">
        <w:rPr>
          <w:rFonts w:ascii="Times New Roman" w:hAnsi="Times New Roman"/>
        </w:rPr>
        <w:t xml:space="preserve"> treaty rights.</w:t>
      </w:r>
    </w:p>
    <w:p w14:paraId="365FD353" w14:textId="77777777" w:rsidR="00966194" w:rsidRPr="00966194" w:rsidRDefault="00966194" w:rsidP="00966194">
      <w:pPr>
        <w:rPr>
          <w:rFonts w:ascii="Times New Roman" w:hAnsi="Times New Roman"/>
        </w:rPr>
      </w:pPr>
    </w:p>
    <w:p w14:paraId="155C678C" w14:textId="1267D80E" w:rsidR="000657B2" w:rsidRPr="00966194" w:rsidRDefault="000657B2" w:rsidP="00966194">
      <w:pPr>
        <w:rPr>
          <w:rFonts w:ascii="Times New Roman" w:hAnsi="Times New Roman"/>
          <w:b/>
        </w:rPr>
      </w:pPr>
      <w:r w:rsidRPr="00966194">
        <w:rPr>
          <w:rFonts w:ascii="Times New Roman" w:hAnsi="Times New Roman"/>
          <w:b/>
        </w:rPr>
        <w:t xml:space="preserve">Procedural History </w:t>
      </w:r>
    </w:p>
    <w:p w14:paraId="4D645A66" w14:textId="565EEDC9" w:rsidR="000657B2" w:rsidRPr="00966194" w:rsidRDefault="000657B2" w:rsidP="00966194">
      <w:pPr>
        <w:rPr>
          <w:rFonts w:ascii="Times New Roman" w:hAnsi="Times New Roman"/>
        </w:rPr>
      </w:pPr>
      <w:r w:rsidRPr="00966194">
        <w:rPr>
          <w:rFonts w:ascii="Times New Roman" w:hAnsi="Times New Roman"/>
        </w:rPr>
        <w:t>In March 2015, the Blueberry River First Nations’ filed a laws</w:t>
      </w:r>
      <w:bookmarkStart w:id="0" w:name="_GoBack"/>
      <w:bookmarkEnd w:id="0"/>
      <w:r w:rsidRPr="00966194">
        <w:rPr>
          <w:rFonts w:ascii="Times New Roman" w:hAnsi="Times New Roman"/>
        </w:rPr>
        <w:t>uit claiming that the British Columbia government breached its treaty obligations pursuant to Treaty 8 as well as its fiduciary</w:t>
      </w:r>
      <w:r w:rsidR="008E0538" w:rsidRPr="00966194">
        <w:rPr>
          <w:rFonts w:ascii="Times New Roman" w:hAnsi="Times New Roman"/>
        </w:rPr>
        <w:t xml:space="preserve"> duties. Blueberry River alleged</w:t>
      </w:r>
      <w:r w:rsidRPr="00966194">
        <w:rPr>
          <w:rFonts w:ascii="Times New Roman" w:hAnsi="Times New Roman"/>
        </w:rPr>
        <w:t xml:space="preserve"> </w:t>
      </w:r>
      <w:r w:rsidR="00272F09">
        <w:rPr>
          <w:rFonts w:ascii="Times New Roman" w:hAnsi="Times New Roman"/>
        </w:rPr>
        <w:t xml:space="preserve">that </w:t>
      </w:r>
      <w:r w:rsidRPr="00966194">
        <w:rPr>
          <w:rFonts w:ascii="Times New Roman" w:hAnsi="Times New Roman"/>
        </w:rPr>
        <w:t>adverse impact</w:t>
      </w:r>
      <w:r w:rsidR="008401EC" w:rsidRPr="00966194">
        <w:rPr>
          <w:rFonts w:ascii="Times New Roman" w:hAnsi="Times New Roman"/>
        </w:rPr>
        <w:t>s</w:t>
      </w:r>
      <w:r w:rsidRPr="00966194">
        <w:rPr>
          <w:rFonts w:ascii="Times New Roman" w:hAnsi="Times New Roman"/>
        </w:rPr>
        <w:t xml:space="preserve"> to the land, water, fish and wildlife </w:t>
      </w:r>
      <w:r w:rsidR="008401EC" w:rsidRPr="00966194">
        <w:rPr>
          <w:rFonts w:ascii="Times New Roman" w:hAnsi="Times New Roman"/>
        </w:rPr>
        <w:t>caused by</w:t>
      </w:r>
      <w:r w:rsidRPr="00966194">
        <w:rPr>
          <w:rFonts w:ascii="Times New Roman" w:hAnsi="Times New Roman"/>
        </w:rPr>
        <w:t xml:space="preserve"> industrial development in its traditional territory </w:t>
      </w:r>
      <w:r w:rsidR="008401EC" w:rsidRPr="00966194">
        <w:rPr>
          <w:rFonts w:ascii="Times New Roman" w:hAnsi="Times New Roman"/>
        </w:rPr>
        <w:t>have infringed</w:t>
      </w:r>
      <w:r w:rsidRPr="00966194">
        <w:rPr>
          <w:rFonts w:ascii="Times New Roman" w:hAnsi="Times New Roman"/>
        </w:rPr>
        <w:t xml:space="preserve"> the</w:t>
      </w:r>
      <w:r w:rsidR="008401EC" w:rsidRPr="00966194">
        <w:rPr>
          <w:rFonts w:ascii="Times New Roman" w:hAnsi="Times New Roman"/>
        </w:rPr>
        <w:t xml:space="preserve">ir ability to exercise </w:t>
      </w:r>
      <w:r w:rsidRPr="00966194">
        <w:rPr>
          <w:rFonts w:ascii="Times New Roman" w:hAnsi="Times New Roman"/>
        </w:rPr>
        <w:t>their treaty rights within their traditional territory.</w:t>
      </w:r>
      <w:r w:rsidRPr="00966194">
        <w:rPr>
          <w:rStyle w:val="FootnoteReference"/>
          <w:rFonts w:ascii="Times New Roman" w:hAnsi="Times New Roman"/>
        </w:rPr>
        <w:footnoteReference w:id="1"/>
      </w:r>
      <w:r w:rsidRPr="00966194">
        <w:rPr>
          <w:rFonts w:ascii="Times New Roman" w:hAnsi="Times New Roman"/>
        </w:rPr>
        <w:t xml:space="preserve"> </w:t>
      </w:r>
      <w:r w:rsidR="008401EC" w:rsidRPr="00966194">
        <w:rPr>
          <w:rFonts w:ascii="Times New Roman" w:hAnsi="Times New Roman"/>
        </w:rPr>
        <w:t>Blueberry River’s</w:t>
      </w:r>
      <w:r w:rsidRPr="00966194">
        <w:rPr>
          <w:rFonts w:ascii="Times New Roman" w:hAnsi="Times New Roman"/>
        </w:rPr>
        <w:t xml:space="preserve"> claim </w:t>
      </w:r>
      <w:r w:rsidR="008401EC" w:rsidRPr="00966194">
        <w:rPr>
          <w:rFonts w:ascii="Times New Roman" w:hAnsi="Times New Roman"/>
        </w:rPr>
        <w:t>states</w:t>
      </w:r>
      <w:r w:rsidRPr="00966194">
        <w:rPr>
          <w:rFonts w:ascii="Times New Roman" w:hAnsi="Times New Roman"/>
        </w:rPr>
        <w:t xml:space="preserve"> that the </w:t>
      </w:r>
      <w:r w:rsidR="008401EC" w:rsidRPr="00966194">
        <w:rPr>
          <w:rFonts w:ascii="Times New Roman" w:hAnsi="Times New Roman"/>
        </w:rPr>
        <w:t>“</w:t>
      </w:r>
      <w:r w:rsidRPr="00966194">
        <w:rPr>
          <w:rFonts w:ascii="Times New Roman" w:hAnsi="Times New Roman"/>
        </w:rPr>
        <w:t>cumulative effects</w:t>
      </w:r>
      <w:r w:rsidR="008401EC" w:rsidRPr="00966194">
        <w:rPr>
          <w:rFonts w:ascii="Times New Roman" w:hAnsi="Times New Roman"/>
        </w:rPr>
        <w:t>”</w:t>
      </w:r>
      <w:r w:rsidRPr="00966194">
        <w:rPr>
          <w:rFonts w:ascii="Times New Roman" w:hAnsi="Times New Roman"/>
        </w:rPr>
        <w:t xml:space="preserve"> of the industrial development in its traditional territory, including forestry, processing, transportation, mining, hydroelectricity and oil and gas developments, </w:t>
      </w:r>
      <w:r w:rsidR="00272F09">
        <w:rPr>
          <w:rFonts w:ascii="Times New Roman" w:hAnsi="Times New Roman"/>
        </w:rPr>
        <w:t xml:space="preserve">made it impossible </w:t>
      </w:r>
      <w:r w:rsidRPr="00966194">
        <w:rPr>
          <w:rFonts w:ascii="Times New Roman" w:hAnsi="Times New Roman"/>
        </w:rPr>
        <w:t>to meaningfully exercise their constitutionally protected cultural and economic activities.</w:t>
      </w:r>
      <w:r w:rsidRPr="00966194">
        <w:rPr>
          <w:rStyle w:val="FootnoteReference"/>
          <w:rFonts w:ascii="Times New Roman" w:hAnsi="Times New Roman"/>
        </w:rPr>
        <w:footnoteReference w:id="2"/>
      </w:r>
      <w:r w:rsidRPr="00966194">
        <w:rPr>
          <w:rFonts w:ascii="Times New Roman" w:hAnsi="Times New Roman"/>
        </w:rPr>
        <w:t xml:space="preserve"> </w:t>
      </w:r>
    </w:p>
    <w:p w14:paraId="45687B38" w14:textId="77777777" w:rsidR="000657B2" w:rsidRPr="00966194" w:rsidRDefault="000657B2" w:rsidP="00966194">
      <w:pPr>
        <w:rPr>
          <w:rFonts w:ascii="Times New Roman" w:hAnsi="Times New Roman"/>
        </w:rPr>
      </w:pPr>
    </w:p>
    <w:p w14:paraId="1DECE947" w14:textId="14C220A4" w:rsidR="000657B2" w:rsidRPr="00966194" w:rsidRDefault="00272F09" w:rsidP="00966194">
      <w:pPr>
        <w:rPr>
          <w:rFonts w:ascii="Times New Roman" w:hAnsi="Times New Roman"/>
        </w:rPr>
      </w:pPr>
      <w:r>
        <w:rPr>
          <w:rFonts w:ascii="Times New Roman" w:hAnsi="Times New Roman"/>
        </w:rPr>
        <w:t>In July 2015</w:t>
      </w:r>
      <w:r w:rsidR="000657B2" w:rsidRPr="00966194">
        <w:rPr>
          <w:rFonts w:ascii="Times New Roman" w:hAnsi="Times New Roman"/>
        </w:rPr>
        <w:t xml:space="preserve">, Blueberry River sought a pre-trial injunction in July 2015, to prevent the province from proceeding with a planned auction of 15 timber sale </w:t>
      </w:r>
      <w:proofErr w:type="spellStart"/>
      <w:r w:rsidR="000657B2" w:rsidRPr="00966194">
        <w:rPr>
          <w:rFonts w:ascii="Times New Roman" w:hAnsi="Times New Roman"/>
        </w:rPr>
        <w:t>licences</w:t>
      </w:r>
      <w:proofErr w:type="spellEnd"/>
      <w:r w:rsidR="000657B2" w:rsidRPr="00966194">
        <w:rPr>
          <w:rFonts w:ascii="Times New Roman" w:hAnsi="Times New Roman"/>
        </w:rPr>
        <w:t>. The injunction was rejected</w:t>
      </w:r>
      <w:r>
        <w:rPr>
          <w:rFonts w:ascii="Times New Roman" w:hAnsi="Times New Roman"/>
        </w:rPr>
        <w:t>.</w:t>
      </w:r>
      <w:r w:rsidR="000657B2" w:rsidRPr="00966194">
        <w:rPr>
          <w:rFonts w:ascii="Times New Roman" w:hAnsi="Times New Roman"/>
        </w:rPr>
        <w:t xml:space="preserve"> </w:t>
      </w:r>
      <w:r w:rsidR="008E0538" w:rsidRPr="00966194">
        <w:rPr>
          <w:rFonts w:ascii="Times New Roman" w:hAnsi="Times New Roman"/>
        </w:rPr>
        <w:t>T</w:t>
      </w:r>
      <w:r w:rsidR="000657B2" w:rsidRPr="00966194">
        <w:rPr>
          <w:rFonts w:ascii="Times New Roman" w:hAnsi="Times New Roman"/>
        </w:rPr>
        <w:t xml:space="preserve">he Court noted, in the context of the limited injunction sought against the 15 timber sale licenses, that granting injunctions on individual projects was an ineffective means to achieve Blueberry River’s broader goal of a </w:t>
      </w:r>
      <w:r w:rsidR="008E0538" w:rsidRPr="00966194">
        <w:rPr>
          <w:rFonts w:ascii="Times New Roman" w:hAnsi="Times New Roman"/>
        </w:rPr>
        <w:t xml:space="preserve">broader restraint </w:t>
      </w:r>
      <w:r w:rsidR="000657B2" w:rsidRPr="00966194">
        <w:rPr>
          <w:rFonts w:ascii="Times New Roman" w:hAnsi="Times New Roman"/>
        </w:rPr>
        <w:t>on industrial activity in its traditional territory. Instead,</w:t>
      </w:r>
      <w:r w:rsidR="008E0538" w:rsidRPr="00966194">
        <w:rPr>
          <w:rFonts w:ascii="Times New Roman" w:hAnsi="Times New Roman"/>
        </w:rPr>
        <w:t xml:space="preserve"> the Court stated that </w:t>
      </w:r>
      <w:r w:rsidR="000657B2" w:rsidRPr="00966194">
        <w:rPr>
          <w:rFonts w:ascii="Times New Roman" w:hAnsi="Times New Roman"/>
        </w:rPr>
        <w:t xml:space="preserve">the application </w:t>
      </w:r>
      <w:r w:rsidR="008E0538" w:rsidRPr="00966194">
        <w:rPr>
          <w:rFonts w:ascii="Times New Roman" w:hAnsi="Times New Roman"/>
        </w:rPr>
        <w:t xml:space="preserve">should seek this </w:t>
      </w:r>
      <w:r w:rsidR="000657B2" w:rsidRPr="00966194">
        <w:rPr>
          <w:rFonts w:ascii="Times New Roman" w:hAnsi="Times New Roman"/>
        </w:rPr>
        <w:t>wide-ranging hold on industrial activity to protect Treaty rights</w:t>
      </w:r>
      <w:r w:rsidR="008E0538" w:rsidRPr="00966194">
        <w:rPr>
          <w:rFonts w:ascii="Times New Roman" w:hAnsi="Times New Roman"/>
        </w:rPr>
        <w:t>,</w:t>
      </w:r>
      <w:r w:rsidR="000657B2" w:rsidRPr="00966194">
        <w:rPr>
          <w:rFonts w:ascii="Times New Roman" w:hAnsi="Times New Roman"/>
        </w:rPr>
        <w:t xml:space="preserve"> as it would allow the court to fully appreciate the implications and effects of what it is being asked to do. </w:t>
      </w:r>
    </w:p>
    <w:p w14:paraId="148820FA" w14:textId="77777777" w:rsidR="000657B2" w:rsidRPr="00966194" w:rsidRDefault="000657B2" w:rsidP="00966194">
      <w:pPr>
        <w:rPr>
          <w:rFonts w:ascii="Times New Roman" w:hAnsi="Times New Roman"/>
        </w:rPr>
      </w:pPr>
    </w:p>
    <w:p w14:paraId="69AAA436" w14:textId="77777777" w:rsidR="00272F09" w:rsidRDefault="000657B2" w:rsidP="00966194">
      <w:pPr>
        <w:rPr>
          <w:rFonts w:ascii="Times New Roman" w:hAnsi="Times New Roman"/>
        </w:rPr>
      </w:pPr>
      <w:r w:rsidRPr="00966194">
        <w:rPr>
          <w:rFonts w:ascii="Times New Roman" w:hAnsi="Times New Roman"/>
        </w:rPr>
        <w:t>With a 90-day trial now scheduled for March 2018</w:t>
      </w:r>
      <w:r w:rsidRPr="00966194">
        <w:rPr>
          <w:rStyle w:val="FootnoteReference"/>
          <w:rFonts w:ascii="Times New Roman" w:hAnsi="Times New Roman"/>
        </w:rPr>
        <w:footnoteReference w:id="3"/>
      </w:r>
      <w:r w:rsidRPr="00966194">
        <w:rPr>
          <w:rFonts w:ascii="Times New Roman" w:hAnsi="Times New Roman"/>
        </w:rPr>
        <w:t>,</w:t>
      </w:r>
      <w:r w:rsidR="008E0538" w:rsidRPr="00966194">
        <w:rPr>
          <w:rFonts w:ascii="Times New Roman" w:hAnsi="Times New Roman"/>
        </w:rPr>
        <w:t xml:space="preserve"> Blueberry River filed another interlocutory injunction with</w:t>
      </w:r>
      <w:r w:rsidRPr="00966194">
        <w:rPr>
          <w:rFonts w:ascii="Times New Roman" w:hAnsi="Times New Roman"/>
        </w:rPr>
        <w:t xml:space="preserve"> the</w:t>
      </w:r>
      <w:r w:rsidR="008E0538" w:rsidRPr="00966194">
        <w:rPr>
          <w:rFonts w:ascii="Times New Roman" w:hAnsi="Times New Roman"/>
        </w:rPr>
        <w:t xml:space="preserve"> British Columbia Supreme Court. </w:t>
      </w:r>
      <w:r w:rsidRPr="00966194">
        <w:rPr>
          <w:rFonts w:ascii="Times New Roman" w:hAnsi="Times New Roman"/>
        </w:rPr>
        <w:t>Relying on the Court’s reasons with regards to the 2015 timber sale licence injunction</w:t>
      </w:r>
      <w:r w:rsidRPr="00966194">
        <w:rPr>
          <w:rStyle w:val="FootnoteReference"/>
          <w:rFonts w:ascii="Times New Roman" w:hAnsi="Times New Roman"/>
        </w:rPr>
        <w:footnoteReference w:id="4"/>
      </w:r>
      <w:r w:rsidRPr="00966194">
        <w:rPr>
          <w:rFonts w:ascii="Times New Roman" w:hAnsi="Times New Roman"/>
        </w:rPr>
        <w:t xml:space="preserve">, Blueberry River sought a much broader </w:t>
      </w:r>
      <w:r w:rsidRPr="00966194">
        <w:rPr>
          <w:rFonts w:ascii="Times New Roman" w:hAnsi="Times New Roman"/>
        </w:rPr>
        <w:lastRenderedPageBreak/>
        <w:t>injunction against the Province</w:t>
      </w:r>
      <w:r w:rsidR="00272F09">
        <w:rPr>
          <w:rFonts w:ascii="Times New Roman" w:hAnsi="Times New Roman"/>
        </w:rPr>
        <w:t>.</w:t>
      </w:r>
      <w:r w:rsidRPr="00966194">
        <w:rPr>
          <w:rFonts w:ascii="Times New Roman" w:hAnsi="Times New Roman"/>
        </w:rPr>
        <w:t xml:space="preserve"> </w:t>
      </w:r>
      <w:r w:rsidR="00272F09" w:rsidRPr="00966194">
        <w:rPr>
          <w:rFonts w:ascii="Times New Roman" w:hAnsi="Times New Roman"/>
        </w:rPr>
        <w:t>This injunction primarily sought to put a wide-ranging hold on any further industrial activity in the critical area of the First Nation’s traditional territory.</w:t>
      </w:r>
      <w:r w:rsidRPr="00966194">
        <w:rPr>
          <w:rStyle w:val="FootnoteReference"/>
          <w:rFonts w:ascii="Times New Roman" w:hAnsi="Times New Roman"/>
        </w:rPr>
        <w:footnoteReference w:id="5"/>
      </w:r>
    </w:p>
    <w:p w14:paraId="3EEA6B59" w14:textId="526A8947" w:rsidR="000657B2" w:rsidRPr="00272F09" w:rsidRDefault="000657B2" w:rsidP="00966194">
      <w:pPr>
        <w:rPr>
          <w:rFonts w:ascii="Times New Roman" w:hAnsi="Times New Roman"/>
        </w:rPr>
      </w:pPr>
      <w:r w:rsidRPr="00966194">
        <w:rPr>
          <w:rFonts w:ascii="Times New Roman" w:hAnsi="Times New Roman"/>
        </w:rPr>
        <w:t xml:space="preserve"> </w:t>
      </w:r>
    </w:p>
    <w:p w14:paraId="3BBAA77E" w14:textId="3CFAAA6A" w:rsidR="000657B2" w:rsidRPr="00966194" w:rsidRDefault="000657B2" w:rsidP="00966194">
      <w:pPr>
        <w:rPr>
          <w:rFonts w:ascii="Times New Roman" w:hAnsi="Times New Roman"/>
          <w:b/>
        </w:rPr>
      </w:pPr>
      <w:r w:rsidRPr="00966194">
        <w:rPr>
          <w:rFonts w:ascii="Times New Roman" w:hAnsi="Times New Roman"/>
          <w:b/>
        </w:rPr>
        <w:t>Legal Principles</w:t>
      </w:r>
    </w:p>
    <w:p w14:paraId="27F4833A" w14:textId="6B29C014" w:rsidR="000657B2" w:rsidRPr="00966194" w:rsidRDefault="000657B2" w:rsidP="00966194">
      <w:pPr>
        <w:rPr>
          <w:rFonts w:ascii="Times New Roman" w:hAnsi="Times New Roman"/>
        </w:rPr>
      </w:pPr>
      <w:r w:rsidRPr="00966194">
        <w:rPr>
          <w:rFonts w:ascii="Times New Roman" w:hAnsi="Times New Roman"/>
        </w:rPr>
        <w:t xml:space="preserve">In its analysis, the Court applied the three-prong </w:t>
      </w:r>
      <w:r w:rsidRPr="00966194">
        <w:rPr>
          <w:rFonts w:ascii="Times New Roman" w:hAnsi="Times New Roman"/>
          <w:i/>
        </w:rPr>
        <w:t xml:space="preserve">RJR-MacDonald </w:t>
      </w:r>
      <w:proofErr w:type="spellStart"/>
      <w:r w:rsidRPr="00966194">
        <w:rPr>
          <w:rFonts w:ascii="Times New Roman" w:hAnsi="Times New Roman"/>
          <w:i/>
        </w:rPr>
        <w:t>Inc</w:t>
      </w:r>
      <w:proofErr w:type="spellEnd"/>
      <w:r w:rsidRPr="00966194">
        <w:rPr>
          <w:rFonts w:ascii="Times New Roman" w:hAnsi="Times New Roman"/>
          <w:i/>
        </w:rPr>
        <w:t xml:space="preserve"> v Canada (Attorney General)</w:t>
      </w:r>
      <w:r w:rsidRPr="00966194">
        <w:rPr>
          <w:rStyle w:val="FootnoteReference"/>
          <w:rFonts w:ascii="Times New Roman" w:hAnsi="Times New Roman"/>
          <w:i/>
        </w:rPr>
        <w:footnoteReference w:id="6"/>
      </w:r>
      <w:r w:rsidRPr="00966194">
        <w:rPr>
          <w:rFonts w:ascii="Times New Roman" w:hAnsi="Times New Roman"/>
        </w:rPr>
        <w:t xml:space="preserve"> test for interlocutory injunctions. The Court considered (1) whether there is a serious question to be tried, (2) whether irreparable harm would result from the denial of the injunction, and (3) whether the balance of convenience </w:t>
      </w:r>
      <w:proofErr w:type="spellStart"/>
      <w:r w:rsidRPr="00966194">
        <w:rPr>
          <w:rFonts w:ascii="Times New Roman" w:hAnsi="Times New Roman"/>
        </w:rPr>
        <w:t>favoured</w:t>
      </w:r>
      <w:proofErr w:type="spellEnd"/>
      <w:r w:rsidRPr="00966194">
        <w:rPr>
          <w:rFonts w:ascii="Times New Roman" w:hAnsi="Times New Roman"/>
        </w:rPr>
        <w:t xml:space="preserve"> an injunction.</w:t>
      </w:r>
      <w:r w:rsidRPr="00966194">
        <w:rPr>
          <w:rStyle w:val="FootnoteReference"/>
          <w:rFonts w:ascii="Times New Roman" w:hAnsi="Times New Roman"/>
        </w:rPr>
        <w:footnoteReference w:id="7"/>
      </w:r>
    </w:p>
    <w:p w14:paraId="0A1D5796" w14:textId="77777777" w:rsidR="000657B2" w:rsidRPr="00966194" w:rsidRDefault="000657B2" w:rsidP="00966194">
      <w:pPr>
        <w:rPr>
          <w:rFonts w:ascii="Times New Roman" w:hAnsi="Times New Roman"/>
          <w:b/>
        </w:rPr>
      </w:pPr>
    </w:p>
    <w:p w14:paraId="1FB2E093" w14:textId="0030B425" w:rsidR="000657B2" w:rsidRPr="00966194" w:rsidRDefault="000657B2" w:rsidP="00966194">
      <w:pPr>
        <w:rPr>
          <w:rFonts w:ascii="Times New Roman" w:hAnsi="Times New Roman"/>
          <w:b/>
        </w:rPr>
      </w:pPr>
      <w:r w:rsidRPr="00966194">
        <w:rPr>
          <w:rFonts w:ascii="Times New Roman" w:hAnsi="Times New Roman"/>
          <w:b/>
        </w:rPr>
        <w:t>Serious Question to be Tried</w:t>
      </w:r>
      <w:r w:rsidR="008E0538" w:rsidRPr="00966194">
        <w:rPr>
          <w:rFonts w:ascii="Times New Roman" w:hAnsi="Times New Roman"/>
          <w:b/>
        </w:rPr>
        <w:t xml:space="preserve"> &amp; Irreparable Harm</w:t>
      </w:r>
    </w:p>
    <w:p w14:paraId="12D3140F" w14:textId="717B3E44" w:rsidR="00B47ABB" w:rsidRDefault="008E0538" w:rsidP="00966194">
      <w:pPr>
        <w:rPr>
          <w:rFonts w:ascii="Times New Roman" w:hAnsi="Times New Roman"/>
        </w:rPr>
      </w:pPr>
      <w:r w:rsidRPr="00966194">
        <w:rPr>
          <w:rFonts w:ascii="Times New Roman" w:hAnsi="Times New Roman"/>
        </w:rPr>
        <w:t>As with the first injunction with respect to the 2015 timber sale licenses, Blueberry River met the first and second prongs of the test.</w:t>
      </w:r>
      <w:r w:rsidR="00B47ABB" w:rsidRPr="00966194">
        <w:rPr>
          <w:rFonts w:ascii="Times New Roman" w:hAnsi="Times New Roman"/>
        </w:rPr>
        <w:t xml:space="preserve"> </w:t>
      </w:r>
    </w:p>
    <w:p w14:paraId="7713706D" w14:textId="77777777" w:rsidR="00966194" w:rsidRPr="00966194" w:rsidRDefault="00966194" w:rsidP="00966194">
      <w:pPr>
        <w:rPr>
          <w:rFonts w:ascii="Times New Roman" w:hAnsi="Times New Roman"/>
        </w:rPr>
      </w:pPr>
    </w:p>
    <w:p w14:paraId="43424F8F" w14:textId="78283E09" w:rsidR="000657B2" w:rsidRDefault="00272F09" w:rsidP="00966194">
      <w:pPr>
        <w:rPr>
          <w:rFonts w:ascii="Times New Roman" w:hAnsi="Times New Roman"/>
        </w:rPr>
      </w:pPr>
      <w:r>
        <w:rPr>
          <w:rFonts w:ascii="Times New Roman" w:hAnsi="Times New Roman"/>
        </w:rPr>
        <w:t>T</w:t>
      </w:r>
      <w:r w:rsidR="000657B2" w:rsidRPr="00966194">
        <w:rPr>
          <w:rFonts w:ascii="Times New Roman" w:hAnsi="Times New Roman"/>
        </w:rPr>
        <w:t>he Court found that Blueberry River had sufficient evidence, case law</w:t>
      </w:r>
      <w:r>
        <w:rPr>
          <w:rFonts w:ascii="Times New Roman" w:hAnsi="Times New Roman"/>
        </w:rPr>
        <w:t>,</w:t>
      </w:r>
      <w:r w:rsidR="000657B2" w:rsidRPr="00966194">
        <w:rPr>
          <w:rFonts w:ascii="Times New Roman" w:hAnsi="Times New Roman"/>
        </w:rPr>
        <w:t xml:space="preserve"> and framework to fairly question “whether the cumulative effect of all industrial development in the Blueberry River’s traditional territory has become so extensive that it amounts to a breach of treaty rights.”</w:t>
      </w:r>
      <w:r w:rsidR="000657B2" w:rsidRPr="00966194">
        <w:rPr>
          <w:rStyle w:val="FootnoteReference"/>
          <w:rFonts w:ascii="Times New Roman" w:hAnsi="Times New Roman"/>
        </w:rPr>
        <w:footnoteReference w:id="8"/>
      </w:r>
    </w:p>
    <w:p w14:paraId="3FCCEFB2" w14:textId="77777777" w:rsidR="00966194" w:rsidRPr="00966194" w:rsidRDefault="00966194" w:rsidP="00966194">
      <w:pPr>
        <w:rPr>
          <w:rFonts w:ascii="Times New Roman" w:hAnsi="Times New Roman"/>
        </w:rPr>
      </w:pPr>
    </w:p>
    <w:p w14:paraId="6B281988" w14:textId="7A650EA2" w:rsidR="00B47ABB" w:rsidRPr="00966194" w:rsidRDefault="00272F09" w:rsidP="00966194">
      <w:pPr>
        <w:rPr>
          <w:rFonts w:ascii="Times New Roman" w:hAnsi="Times New Roman"/>
        </w:rPr>
      </w:pPr>
      <w:r>
        <w:rPr>
          <w:rFonts w:ascii="Times New Roman" w:hAnsi="Times New Roman"/>
        </w:rPr>
        <w:t>On th</w:t>
      </w:r>
      <w:r w:rsidR="000657B2" w:rsidRPr="00966194">
        <w:rPr>
          <w:rFonts w:ascii="Times New Roman" w:hAnsi="Times New Roman"/>
        </w:rPr>
        <w:t>e second prong of the test</w:t>
      </w:r>
      <w:r>
        <w:rPr>
          <w:rFonts w:ascii="Times New Roman" w:hAnsi="Times New Roman"/>
        </w:rPr>
        <w:t xml:space="preserve"> and as noted in </w:t>
      </w:r>
      <w:r>
        <w:rPr>
          <w:rFonts w:ascii="Times New Roman" w:hAnsi="Times New Roman"/>
          <w:i/>
        </w:rPr>
        <w:t>RJR-MacDonald,</w:t>
      </w:r>
      <w:r>
        <w:rPr>
          <w:rFonts w:ascii="Times New Roman" w:hAnsi="Times New Roman"/>
        </w:rPr>
        <w:t xml:space="preserve"> the Court must</w:t>
      </w:r>
      <w:r w:rsidR="000657B2" w:rsidRPr="00966194">
        <w:rPr>
          <w:rFonts w:ascii="Times New Roman" w:hAnsi="Times New Roman"/>
        </w:rPr>
        <w:t xml:space="preserve"> </w:t>
      </w:r>
      <w:proofErr w:type="spellStart"/>
      <w:r w:rsidR="000657B2" w:rsidRPr="00966194">
        <w:rPr>
          <w:rFonts w:ascii="Times New Roman" w:hAnsi="Times New Roman"/>
        </w:rPr>
        <w:t>analyse</w:t>
      </w:r>
      <w:proofErr w:type="spellEnd"/>
      <w:r w:rsidR="000657B2" w:rsidRPr="00966194">
        <w:rPr>
          <w:rFonts w:ascii="Times New Roman" w:hAnsi="Times New Roman"/>
        </w:rPr>
        <w:t xml:space="preserve"> whether irreparable harm would result from</w:t>
      </w:r>
      <w:r>
        <w:rPr>
          <w:rFonts w:ascii="Times New Roman" w:hAnsi="Times New Roman"/>
        </w:rPr>
        <w:t xml:space="preserve"> the denial of the injunction. The </w:t>
      </w:r>
      <w:r w:rsidR="000657B2" w:rsidRPr="00966194">
        <w:rPr>
          <w:rFonts w:ascii="Times New Roman" w:hAnsi="Times New Roman"/>
        </w:rPr>
        <w:t>term “irreparable harm” refers to the nature of the harm suffered and not the magnitude</w:t>
      </w:r>
      <w:r w:rsidR="008401EC" w:rsidRPr="00966194">
        <w:rPr>
          <w:rFonts w:ascii="Times New Roman" w:hAnsi="Times New Roman"/>
        </w:rPr>
        <w:t xml:space="preserve"> of the harm itself</w:t>
      </w:r>
      <w:r>
        <w:rPr>
          <w:rFonts w:ascii="Times New Roman" w:hAnsi="Times New Roman"/>
        </w:rPr>
        <w:t>; i</w:t>
      </w:r>
      <w:r w:rsidR="000657B2" w:rsidRPr="00966194">
        <w:rPr>
          <w:rFonts w:ascii="Times New Roman" w:hAnsi="Times New Roman"/>
        </w:rPr>
        <w:t>t is a harm that cannot be quantified in monetary terms or cannot be cured.</w:t>
      </w:r>
      <w:r w:rsidR="000657B2" w:rsidRPr="00966194">
        <w:rPr>
          <w:rStyle w:val="FootnoteReference"/>
          <w:rFonts w:ascii="Times New Roman" w:hAnsi="Times New Roman"/>
        </w:rPr>
        <w:footnoteReference w:id="9"/>
      </w:r>
      <w:r w:rsidR="000657B2" w:rsidRPr="00966194">
        <w:rPr>
          <w:rFonts w:ascii="Times New Roman" w:hAnsi="Times New Roman"/>
        </w:rPr>
        <w:t xml:space="preserve"> The Court found that Blueberry River was once again able to demonstrate the reasonable likelihood of irreparable harm.</w:t>
      </w:r>
      <w:r w:rsidR="000657B2" w:rsidRPr="00966194">
        <w:rPr>
          <w:rStyle w:val="FootnoteReference"/>
          <w:rFonts w:ascii="Times New Roman" w:hAnsi="Times New Roman"/>
        </w:rPr>
        <w:footnoteReference w:id="10"/>
      </w:r>
      <w:r w:rsidR="000657B2" w:rsidRPr="00966194">
        <w:rPr>
          <w:rFonts w:ascii="Times New Roman" w:hAnsi="Times New Roman"/>
        </w:rPr>
        <w:t xml:space="preserve"> The Court cited the persuasiveness of the affidavits of community members which showed that important critical areas for the practice of treaty rights were likely to be further harmed if an injunction was not granted.</w:t>
      </w:r>
      <w:r w:rsidR="000657B2" w:rsidRPr="00966194">
        <w:rPr>
          <w:rStyle w:val="FootnoteReference"/>
          <w:rFonts w:ascii="Times New Roman" w:hAnsi="Times New Roman"/>
        </w:rPr>
        <w:footnoteReference w:id="11"/>
      </w:r>
      <w:r w:rsidR="000657B2" w:rsidRPr="00966194">
        <w:rPr>
          <w:rFonts w:ascii="Times New Roman" w:hAnsi="Times New Roman"/>
        </w:rPr>
        <w:t xml:space="preserve"> </w:t>
      </w:r>
    </w:p>
    <w:p w14:paraId="628EAC5B" w14:textId="5D2F390B" w:rsidR="00B47ABB" w:rsidRPr="00966194" w:rsidRDefault="00B47ABB" w:rsidP="00966194">
      <w:pPr>
        <w:rPr>
          <w:rFonts w:ascii="Times New Roman" w:hAnsi="Times New Roman"/>
        </w:rPr>
      </w:pPr>
    </w:p>
    <w:p w14:paraId="5CBE3925" w14:textId="613688D5" w:rsidR="000657B2" w:rsidRPr="00966194" w:rsidRDefault="000657B2" w:rsidP="00966194">
      <w:pPr>
        <w:rPr>
          <w:rFonts w:ascii="Times New Roman" w:hAnsi="Times New Roman"/>
          <w:b/>
        </w:rPr>
      </w:pPr>
      <w:r w:rsidRPr="00966194">
        <w:rPr>
          <w:rFonts w:ascii="Times New Roman" w:hAnsi="Times New Roman"/>
          <w:b/>
        </w:rPr>
        <w:t xml:space="preserve">Balance of Convenience </w:t>
      </w:r>
    </w:p>
    <w:p w14:paraId="514A81CE" w14:textId="660F6D5E" w:rsidR="000657B2" w:rsidRPr="00966194" w:rsidRDefault="000657B2" w:rsidP="00966194">
      <w:pPr>
        <w:rPr>
          <w:rFonts w:ascii="Times New Roman" w:hAnsi="Times New Roman"/>
        </w:rPr>
      </w:pPr>
      <w:r w:rsidRPr="00966194">
        <w:rPr>
          <w:rFonts w:ascii="Times New Roman" w:hAnsi="Times New Roman"/>
        </w:rPr>
        <w:t xml:space="preserve">The third prong of the </w:t>
      </w:r>
      <w:r w:rsidRPr="00966194">
        <w:rPr>
          <w:rFonts w:ascii="Times New Roman" w:hAnsi="Times New Roman"/>
          <w:i/>
        </w:rPr>
        <w:t>RJR-MacDonald</w:t>
      </w:r>
      <w:r w:rsidRPr="00966194">
        <w:rPr>
          <w:rFonts w:ascii="Times New Roman" w:hAnsi="Times New Roman"/>
        </w:rPr>
        <w:t xml:space="preserve"> test requires the Court to weigh the harm to the plaintiff against the harm to others, including the </w:t>
      </w:r>
      <w:r w:rsidR="008401EC" w:rsidRPr="00966194">
        <w:rPr>
          <w:rFonts w:ascii="Times New Roman" w:hAnsi="Times New Roman"/>
        </w:rPr>
        <w:t>Province</w:t>
      </w:r>
      <w:r w:rsidRPr="00966194">
        <w:rPr>
          <w:rFonts w:ascii="Times New Roman" w:hAnsi="Times New Roman"/>
        </w:rPr>
        <w:t>. Though each case presents unique factors to weigh, common factors include the consideration of public interest</w:t>
      </w:r>
      <w:r w:rsidRPr="00966194">
        <w:rPr>
          <w:rStyle w:val="FootnoteReference"/>
          <w:rFonts w:ascii="Times New Roman" w:hAnsi="Times New Roman"/>
        </w:rPr>
        <w:footnoteReference w:id="12"/>
      </w:r>
      <w:r w:rsidRPr="00966194">
        <w:rPr>
          <w:rFonts w:ascii="Times New Roman" w:hAnsi="Times New Roman"/>
        </w:rPr>
        <w:t xml:space="preserve">, any potential adverse </w:t>
      </w:r>
      <w:r w:rsidRPr="00966194">
        <w:rPr>
          <w:rFonts w:ascii="Times New Roman" w:hAnsi="Times New Roman"/>
        </w:rPr>
        <w:lastRenderedPageBreak/>
        <w:t>effects on third parties</w:t>
      </w:r>
      <w:r w:rsidR="00B47ABB" w:rsidRPr="00966194">
        <w:rPr>
          <w:rFonts w:ascii="Times New Roman" w:hAnsi="Times New Roman"/>
        </w:rPr>
        <w:t>,</w:t>
      </w:r>
      <w:r w:rsidRPr="00966194">
        <w:rPr>
          <w:rFonts w:ascii="Times New Roman" w:hAnsi="Times New Roman"/>
        </w:rPr>
        <w:t xml:space="preserve"> as well as the preservation of the status quo.</w:t>
      </w:r>
      <w:r w:rsidRPr="00966194">
        <w:rPr>
          <w:rStyle w:val="FootnoteReference"/>
          <w:rFonts w:ascii="Times New Roman" w:hAnsi="Times New Roman"/>
        </w:rPr>
        <w:footnoteReference w:id="13"/>
      </w:r>
      <w:r w:rsidRPr="00966194">
        <w:rPr>
          <w:rFonts w:ascii="Times New Roman" w:hAnsi="Times New Roman"/>
        </w:rPr>
        <w:t xml:space="preserve"> In this case, the Court found that the balance of convenience weighed in favour of the Province citing three reasons. </w:t>
      </w:r>
    </w:p>
    <w:p w14:paraId="27DAB153" w14:textId="77777777" w:rsidR="000657B2" w:rsidRPr="00966194" w:rsidRDefault="000657B2" w:rsidP="00966194">
      <w:pPr>
        <w:rPr>
          <w:rFonts w:ascii="Times New Roman" w:hAnsi="Times New Roman"/>
        </w:rPr>
      </w:pPr>
    </w:p>
    <w:p w14:paraId="32628D6F" w14:textId="6DC30718" w:rsidR="000657B2" w:rsidRPr="00966194" w:rsidRDefault="00272F09" w:rsidP="00966194">
      <w:pPr>
        <w:rPr>
          <w:rFonts w:ascii="Times New Roman" w:hAnsi="Times New Roman"/>
        </w:rPr>
      </w:pPr>
      <w:r>
        <w:rPr>
          <w:rFonts w:ascii="Times New Roman" w:hAnsi="Times New Roman"/>
        </w:rPr>
        <w:t>First</w:t>
      </w:r>
      <w:r w:rsidR="000657B2" w:rsidRPr="00966194">
        <w:rPr>
          <w:rFonts w:ascii="Times New Roman" w:hAnsi="Times New Roman"/>
        </w:rPr>
        <w:t>, the Court found that the Province would suffer economic harm as a result of lost revenues such as bonuses paid to the province, annual rent and royalties, authorization process fees</w:t>
      </w:r>
      <w:r w:rsidR="00B47ABB" w:rsidRPr="00966194">
        <w:rPr>
          <w:rFonts w:ascii="Times New Roman" w:hAnsi="Times New Roman"/>
        </w:rPr>
        <w:t>,</w:t>
      </w:r>
      <w:r w:rsidR="000657B2" w:rsidRPr="00966194">
        <w:rPr>
          <w:rFonts w:ascii="Times New Roman" w:hAnsi="Times New Roman"/>
        </w:rPr>
        <w:t xml:space="preserve"> and various tax-based revenues.</w:t>
      </w:r>
      <w:r w:rsidR="000657B2" w:rsidRPr="00966194">
        <w:rPr>
          <w:rStyle w:val="FootnoteReference"/>
          <w:rFonts w:ascii="Times New Roman" w:hAnsi="Times New Roman"/>
        </w:rPr>
        <w:footnoteReference w:id="14"/>
      </w:r>
      <w:r w:rsidR="000657B2" w:rsidRPr="00966194">
        <w:rPr>
          <w:rFonts w:ascii="Times New Roman" w:hAnsi="Times New Roman"/>
        </w:rPr>
        <w:t xml:space="preserve"> </w:t>
      </w:r>
    </w:p>
    <w:p w14:paraId="0551434A" w14:textId="77777777" w:rsidR="000657B2" w:rsidRPr="00966194" w:rsidRDefault="000657B2" w:rsidP="00966194">
      <w:pPr>
        <w:rPr>
          <w:rFonts w:ascii="Times New Roman" w:hAnsi="Times New Roman"/>
        </w:rPr>
      </w:pPr>
    </w:p>
    <w:p w14:paraId="09D8ADC0" w14:textId="7380EEE1" w:rsidR="000657B2" w:rsidRPr="00966194" w:rsidRDefault="000657B2" w:rsidP="00966194">
      <w:pPr>
        <w:rPr>
          <w:rFonts w:ascii="Times New Roman" w:hAnsi="Times New Roman"/>
        </w:rPr>
      </w:pPr>
      <w:r w:rsidRPr="00966194">
        <w:rPr>
          <w:rFonts w:ascii="Times New Roman" w:hAnsi="Times New Roman"/>
        </w:rPr>
        <w:t>Seco</w:t>
      </w:r>
      <w:r w:rsidR="00272F09">
        <w:rPr>
          <w:rFonts w:ascii="Times New Roman" w:hAnsi="Times New Roman"/>
        </w:rPr>
        <w:t>nd</w:t>
      </w:r>
      <w:r w:rsidRPr="00966194">
        <w:rPr>
          <w:rFonts w:ascii="Times New Roman" w:hAnsi="Times New Roman"/>
        </w:rPr>
        <w:t xml:space="preserve">, the Court found that the injunction would have adverse effects on third parties. </w:t>
      </w:r>
      <w:r w:rsidR="00272F09">
        <w:rPr>
          <w:rFonts w:ascii="Times New Roman" w:hAnsi="Times New Roman"/>
        </w:rPr>
        <w:t xml:space="preserve">Many </w:t>
      </w:r>
      <w:r w:rsidRPr="00966194">
        <w:rPr>
          <w:rFonts w:ascii="Times New Roman" w:hAnsi="Times New Roman"/>
        </w:rPr>
        <w:t>third-party companies in the oil a</w:t>
      </w:r>
      <w:r w:rsidR="00272F09">
        <w:rPr>
          <w:rFonts w:ascii="Times New Roman" w:hAnsi="Times New Roman"/>
        </w:rPr>
        <w:t>nd gas and timber industries</w:t>
      </w:r>
      <w:r w:rsidRPr="00966194">
        <w:rPr>
          <w:rFonts w:ascii="Times New Roman" w:hAnsi="Times New Roman"/>
        </w:rPr>
        <w:t xml:space="preserve"> attested </w:t>
      </w:r>
      <w:r w:rsidR="00272F09">
        <w:rPr>
          <w:rFonts w:ascii="Times New Roman" w:hAnsi="Times New Roman"/>
        </w:rPr>
        <w:t xml:space="preserve">to </w:t>
      </w:r>
      <w:r w:rsidRPr="00966194">
        <w:rPr>
          <w:rFonts w:ascii="Times New Roman" w:hAnsi="Times New Roman"/>
        </w:rPr>
        <w:t>se</w:t>
      </w:r>
      <w:r w:rsidR="00272F09">
        <w:rPr>
          <w:rFonts w:ascii="Times New Roman" w:hAnsi="Times New Roman"/>
        </w:rPr>
        <w:t xml:space="preserve">vere impact to their businesses, </w:t>
      </w:r>
      <w:r w:rsidRPr="00966194">
        <w:rPr>
          <w:rFonts w:ascii="Times New Roman" w:hAnsi="Times New Roman"/>
        </w:rPr>
        <w:t xml:space="preserve">an inability to continue certain operations </w:t>
      </w:r>
      <w:r w:rsidR="00272F09">
        <w:rPr>
          <w:rFonts w:ascii="Times New Roman" w:hAnsi="Times New Roman"/>
        </w:rPr>
        <w:t>that could result in a</w:t>
      </w:r>
      <w:r w:rsidRPr="00966194">
        <w:rPr>
          <w:rFonts w:ascii="Times New Roman" w:hAnsi="Times New Roman"/>
        </w:rPr>
        <w:t xml:space="preserve"> </w:t>
      </w:r>
      <w:r w:rsidR="00272F09">
        <w:rPr>
          <w:rFonts w:ascii="Times New Roman" w:hAnsi="Times New Roman"/>
        </w:rPr>
        <w:t>shutdown</w:t>
      </w:r>
      <w:r w:rsidRPr="00966194">
        <w:rPr>
          <w:rFonts w:ascii="Times New Roman" w:hAnsi="Times New Roman"/>
        </w:rPr>
        <w:t>.</w:t>
      </w:r>
      <w:r w:rsidRPr="00966194">
        <w:rPr>
          <w:rStyle w:val="FootnoteReference"/>
          <w:rFonts w:ascii="Times New Roman" w:hAnsi="Times New Roman"/>
        </w:rPr>
        <w:footnoteReference w:id="15"/>
      </w:r>
    </w:p>
    <w:p w14:paraId="68EE98FE" w14:textId="77777777" w:rsidR="000657B2" w:rsidRPr="00966194" w:rsidRDefault="000657B2" w:rsidP="00966194">
      <w:pPr>
        <w:rPr>
          <w:rFonts w:ascii="Times New Roman" w:hAnsi="Times New Roman"/>
        </w:rPr>
      </w:pPr>
    </w:p>
    <w:p w14:paraId="1C39F1C6" w14:textId="77777777" w:rsidR="002345D6" w:rsidRDefault="000657B2" w:rsidP="00966194">
      <w:pPr>
        <w:rPr>
          <w:rFonts w:ascii="Times New Roman" w:hAnsi="Times New Roman"/>
        </w:rPr>
      </w:pPr>
      <w:r w:rsidRPr="00966194">
        <w:rPr>
          <w:rFonts w:ascii="Times New Roman" w:hAnsi="Times New Roman"/>
        </w:rPr>
        <w:t xml:space="preserve">Finally, the Court </w:t>
      </w:r>
      <w:r w:rsidR="00272F09">
        <w:rPr>
          <w:rFonts w:ascii="Times New Roman" w:hAnsi="Times New Roman"/>
        </w:rPr>
        <w:t>held</w:t>
      </w:r>
      <w:r w:rsidRPr="00966194">
        <w:rPr>
          <w:rFonts w:ascii="Times New Roman" w:hAnsi="Times New Roman"/>
        </w:rPr>
        <w:t xml:space="preserve"> that the lack of clarity and the </w:t>
      </w:r>
      <w:r w:rsidR="00B47ABB" w:rsidRPr="00966194">
        <w:rPr>
          <w:rFonts w:ascii="Times New Roman" w:hAnsi="Times New Roman"/>
        </w:rPr>
        <w:t>overbroad</w:t>
      </w:r>
      <w:r w:rsidRPr="00966194">
        <w:rPr>
          <w:rFonts w:ascii="Times New Roman" w:hAnsi="Times New Roman"/>
        </w:rPr>
        <w:t xml:space="preserve"> nature of the relief sought was against the public interest.</w:t>
      </w:r>
      <w:r w:rsidRPr="00966194">
        <w:rPr>
          <w:rStyle w:val="FootnoteReference"/>
          <w:rFonts w:ascii="Times New Roman" w:hAnsi="Times New Roman"/>
        </w:rPr>
        <w:footnoteReference w:id="16"/>
      </w:r>
      <w:r w:rsidRPr="00966194">
        <w:rPr>
          <w:rFonts w:ascii="Times New Roman" w:hAnsi="Times New Roman"/>
        </w:rPr>
        <w:t xml:space="preserve"> Though Blueberry River argued that the injunction would only affect </w:t>
      </w:r>
      <w:r w:rsidR="00272F09">
        <w:rPr>
          <w:rFonts w:ascii="Times New Roman" w:hAnsi="Times New Roman"/>
        </w:rPr>
        <w:t>activities in the critical area</w:t>
      </w:r>
      <w:r w:rsidRPr="00966194">
        <w:rPr>
          <w:rFonts w:ascii="Times New Roman" w:hAnsi="Times New Roman"/>
        </w:rPr>
        <w:t xml:space="preserve">, the Court </w:t>
      </w:r>
      <w:r w:rsidR="00272F09">
        <w:rPr>
          <w:rFonts w:ascii="Times New Roman" w:hAnsi="Times New Roman"/>
        </w:rPr>
        <w:t>held that</w:t>
      </w:r>
      <w:r w:rsidRPr="00966194">
        <w:rPr>
          <w:rFonts w:ascii="Times New Roman" w:hAnsi="Times New Roman"/>
        </w:rPr>
        <w:t xml:space="preserve"> pre-existing projects requiring future authorizations would be halted.</w:t>
      </w:r>
      <w:r w:rsidRPr="00966194">
        <w:rPr>
          <w:rStyle w:val="FootnoteReference"/>
          <w:rFonts w:ascii="Times New Roman" w:hAnsi="Times New Roman"/>
        </w:rPr>
        <w:footnoteReference w:id="17"/>
      </w:r>
      <w:r w:rsidRPr="00966194">
        <w:rPr>
          <w:rFonts w:ascii="Times New Roman" w:hAnsi="Times New Roman"/>
        </w:rPr>
        <w:t xml:space="preserve"> Moreover, the halting of transportation projects (such as pipelines) in the area would halt or diminish projects outside the area</w:t>
      </w:r>
      <w:r w:rsidR="00272F09">
        <w:rPr>
          <w:rFonts w:ascii="Times New Roman" w:hAnsi="Times New Roman"/>
        </w:rPr>
        <w:t>, affecting third parties to the action and</w:t>
      </w:r>
      <w:r w:rsidR="008401EC" w:rsidRPr="00966194">
        <w:rPr>
          <w:rFonts w:ascii="Times New Roman" w:hAnsi="Times New Roman"/>
        </w:rPr>
        <w:t xml:space="preserve"> beyond the region</w:t>
      </w:r>
      <w:r w:rsidRPr="00966194">
        <w:rPr>
          <w:rFonts w:ascii="Times New Roman" w:hAnsi="Times New Roman"/>
        </w:rPr>
        <w:t>.</w:t>
      </w:r>
      <w:r w:rsidRPr="00966194">
        <w:rPr>
          <w:rStyle w:val="FootnoteReference"/>
          <w:rFonts w:ascii="Times New Roman" w:hAnsi="Times New Roman"/>
        </w:rPr>
        <w:footnoteReference w:id="18"/>
      </w:r>
      <w:r w:rsidR="00B47ABB" w:rsidRPr="00966194">
        <w:rPr>
          <w:rFonts w:ascii="Times New Roman" w:hAnsi="Times New Roman"/>
        </w:rPr>
        <w:t xml:space="preserve"> </w:t>
      </w:r>
      <w:r w:rsidR="002345D6">
        <w:rPr>
          <w:rFonts w:ascii="Times New Roman" w:hAnsi="Times New Roman"/>
        </w:rPr>
        <w:t>Accordingly, t</w:t>
      </w:r>
      <w:r w:rsidR="00272F09">
        <w:rPr>
          <w:rFonts w:ascii="Times New Roman" w:hAnsi="Times New Roman"/>
        </w:rPr>
        <w:t>he</w:t>
      </w:r>
      <w:r w:rsidR="00B47ABB" w:rsidRPr="00966194">
        <w:rPr>
          <w:rFonts w:ascii="Times New Roman" w:hAnsi="Times New Roman"/>
        </w:rPr>
        <w:t xml:space="preserve"> C</w:t>
      </w:r>
      <w:r w:rsidRPr="00966194">
        <w:rPr>
          <w:rFonts w:ascii="Times New Roman" w:hAnsi="Times New Roman"/>
        </w:rPr>
        <w:t xml:space="preserve">ourt </w:t>
      </w:r>
      <w:r w:rsidR="00272F09">
        <w:rPr>
          <w:rFonts w:ascii="Times New Roman" w:hAnsi="Times New Roman"/>
        </w:rPr>
        <w:t>found</w:t>
      </w:r>
      <w:r w:rsidRPr="00966194">
        <w:rPr>
          <w:rFonts w:ascii="Times New Roman" w:hAnsi="Times New Roman"/>
        </w:rPr>
        <w:t xml:space="preserve"> that these potential </w:t>
      </w:r>
      <w:r w:rsidR="00B47ABB" w:rsidRPr="00966194">
        <w:rPr>
          <w:rFonts w:ascii="Times New Roman" w:hAnsi="Times New Roman"/>
        </w:rPr>
        <w:t>effects</w:t>
      </w:r>
      <w:r w:rsidRPr="00966194">
        <w:rPr>
          <w:rFonts w:ascii="Times New Roman" w:hAnsi="Times New Roman"/>
        </w:rPr>
        <w:t xml:space="preserve"> were </w:t>
      </w:r>
      <w:r w:rsidR="00B47ABB" w:rsidRPr="00966194">
        <w:rPr>
          <w:rFonts w:ascii="Times New Roman" w:hAnsi="Times New Roman"/>
        </w:rPr>
        <w:t>contrary to</w:t>
      </w:r>
      <w:r w:rsidRPr="00966194">
        <w:rPr>
          <w:rFonts w:ascii="Times New Roman" w:hAnsi="Times New Roman"/>
        </w:rPr>
        <w:t xml:space="preserve"> the public interest. </w:t>
      </w:r>
    </w:p>
    <w:p w14:paraId="03062375" w14:textId="77777777" w:rsidR="002345D6" w:rsidRDefault="002345D6" w:rsidP="00966194">
      <w:pPr>
        <w:rPr>
          <w:rFonts w:ascii="Times New Roman" w:hAnsi="Times New Roman"/>
        </w:rPr>
      </w:pPr>
    </w:p>
    <w:p w14:paraId="588E4ABB" w14:textId="75FCEC67" w:rsidR="000657B2" w:rsidRPr="00966194" w:rsidRDefault="00272F09" w:rsidP="00966194">
      <w:pPr>
        <w:rPr>
          <w:rFonts w:ascii="Times New Roman" w:hAnsi="Times New Roman"/>
        </w:rPr>
      </w:pPr>
      <w:r>
        <w:rPr>
          <w:rFonts w:ascii="Times New Roman" w:hAnsi="Times New Roman"/>
        </w:rPr>
        <w:t>The</w:t>
      </w:r>
      <w:r w:rsidR="000657B2" w:rsidRPr="00966194">
        <w:rPr>
          <w:rFonts w:ascii="Times New Roman" w:hAnsi="Times New Roman"/>
        </w:rPr>
        <w:t xml:space="preserve"> Court </w:t>
      </w:r>
      <w:r>
        <w:rPr>
          <w:rFonts w:ascii="Times New Roman" w:hAnsi="Times New Roman"/>
        </w:rPr>
        <w:t>did find</w:t>
      </w:r>
      <w:r w:rsidR="000657B2" w:rsidRPr="00966194">
        <w:rPr>
          <w:rFonts w:ascii="Times New Roman" w:hAnsi="Times New Roman"/>
        </w:rPr>
        <w:t xml:space="preserve"> that the public has “an interest in the fair and orderly settlement of </w:t>
      </w:r>
      <w:r w:rsidR="00711575" w:rsidRPr="00966194">
        <w:rPr>
          <w:rFonts w:ascii="Times New Roman" w:hAnsi="Times New Roman"/>
        </w:rPr>
        <w:t>Aboriginal</w:t>
      </w:r>
      <w:r w:rsidR="000657B2" w:rsidRPr="00966194">
        <w:rPr>
          <w:rFonts w:ascii="Times New Roman" w:hAnsi="Times New Roman"/>
        </w:rPr>
        <w:t xml:space="preserve"> claims</w:t>
      </w:r>
      <w:r>
        <w:rPr>
          <w:rFonts w:ascii="Times New Roman" w:hAnsi="Times New Roman"/>
        </w:rPr>
        <w:t>.</w:t>
      </w:r>
      <w:r w:rsidR="000657B2" w:rsidRPr="00966194">
        <w:rPr>
          <w:rFonts w:ascii="Times New Roman" w:hAnsi="Times New Roman"/>
        </w:rPr>
        <w:t>”</w:t>
      </w:r>
      <w:r>
        <w:rPr>
          <w:rFonts w:ascii="Times New Roman" w:hAnsi="Times New Roman"/>
        </w:rPr>
        <w:t xml:space="preserve"> However,</w:t>
      </w:r>
      <w:r w:rsidR="000657B2" w:rsidRPr="00966194">
        <w:rPr>
          <w:rFonts w:ascii="Times New Roman" w:hAnsi="Times New Roman"/>
        </w:rPr>
        <w:t xml:space="preserve"> </w:t>
      </w:r>
      <w:r>
        <w:rPr>
          <w:rFonts w:ascii="Times New Roman" w:hAnsi="Times New Roman"/>
        </w:rPr>
        <w:t>it</w:t>
      </w:r>
      <w:r w:rsidR="000657B2" w:rsidRPr="00966194">
        <w:rPr>
          <w:rFonts w:ascii="Times New Roman" w:hAnsi="Times New Roman"/>
        </w:rPr>
        <w:t xml:space="preserve"> ruled that this consideration would require “findings of fact that are essentially the basis for and at issue at trial.”</w:t>
      </w:r>
      <w:r w:rsidR="000657B2" w:rsidRPr="00966194">
        <w:rPr>
          <w:rStyle w:val="FootnoteReference"/>
          <w:rFonts w:ascii="Times New Roman" w:hAnsi="Times New Roman"/>
        </w:rPr>
        <w:footnoteReference w:id="19"/>
      </w:r>
    </w:p>
    <w:p w14:paraId="50982370" w14:textId="77777777" w:rsidR="000657B2" w:rsidRPr="00966194" w:rsidRDefault="000657B2" w:rsidP="00966194">
      <w:pPr>
        <w:rPr>
          <w:rFonts w:ascii="Times New Roman" w:hAnsi="Times New Roman"/>
        </w:rPr>
      </w:pPr>
    </w:p>
    <w:p w14:paraId="3FBA650F" w14:textId="0A1D1868" w:rsidR="000657B2" w:rsidRPr="00966194" w:rsidRDefault="000657B2" w:rsidP="00966194">
      <w:pPr>
        <w:rPr>
          <w:rFonts w:ascii="Times New Roman" w:hAnsi="Times New Roman"/>
          <w:b/>
        </w:rPr>
      </w:pPr>
      <w:r w:rsidRPr="00966194">
        <w:rPr>
          <w:rFonts w:ascii="Times New Roman" w:hAnsi="Times New Roman"/>
          <w:b/>
        </w:rPr>
        <w:t>Why this Case Matters</w:t>
      </w:r>
    </w:p>
    <w:p w14:paraId="580C9158" w14:textId="1FF23833" w:rsidR="000657B2" w:rsidRPr="00966194" w:rsidRDefault="000657B2" w:rsidP="00966194">
      <w:pPr>
        <w:rPr>
          <w:rFonts w:ascii="Times New Roman" w:hAnsi="Times New Roman"/>
        </w:rPr>
      </w:pPr>
      <w:r w:rsidRPr="00966194">
        <w:rPr>
          <w:rFonts w:ascii="Times New Roman" w:hAnsi="Times New Roman"/>
        </w:rPr>
        <w:t>Though the Court cited different motives than</w:t>
      </w:r>
      <w:r w:rsidR="008401EC" w:rsidRPr="00966194">
        <w:rPr>
          <w:rFonts w:ascii="Times New Roman" w:hAnsi="Times New Roman"/>
        </w:rPr>
        <w:t xml:space="preserve"> in</w:t>
      </w:r>
      <w:r w:rsidRPr="00966194">
        <w:rPr>
          <w:rFonts w:ascii="Times New Roman" w:hAnsi="Times New Roman"/>
        </w:rPr>
        <w:t xml:space="preserve"> the 2015 injunction</w:t>
      </w:r>
      <w:r w:rsidR="008401EC" w:rsidRPr="00966194">
        <w:rPr>
          <w:rFonts w:ascii="Times New Roman" w:hAnsi="Times New Roman"/>
        </w:rPr>
        <w:t xml:space="preserve"> decision</w:t>
      </w:r>
      <w:r w:rsidRPr="00966194">
        <w:rPr>
          <w:rFonts w:ascii="Times New Roman" w:hAnsi="Times New Roman"/>
        </w:rPr>
        <w:t>, it found on</w:t>
      </w:r>
      <w:r w:rsidR="008401EC" w:rsidRPr="00966194">
        <w:rPr>
          <w:rFonts w:ascii="Times New Roman" w:hAnsi="Times New Roman"/>
        </w:rPr>
        <w:t>c</w:t>
      </w:r>
      <w:r w:rsidRPr="00966194">
        <w:rPr>
          <w:rFonts w:ascii="Times New Roman" w:hAnsi="Times New Roman"/>
        </w:rPr>
        <w:t xml:space="preserve">e again that the balance of convenience weighed in favour of the Crown. While First Nations plaintiffs have </w:t>
      </w:r>
      <w:r w:rsidR="008401EC" w:rsidRPr="00966194">
        <w:rPr>
          <w:rFonts w:ascii="Times New Roman" w:hAnsi="Times New Roman"/>
        </w:rPr>
        <w:t>been successful in meeting</w:t>
      </w:r>
      <w:r w:rsidRPr="00966194">
        <w:rPr>
          <w:rFonts w:ascii="Times New Roman" w:hAnsi="Times New Roman"/>
        </w:rPr>
        <w:t xml:space="preserve"> the first two prongs of the </w:t>
      </w:r>
      <w:r w:rsidRPr="00966194">
        <w:rPr>
          <w:rFonts w:ascii="Times New Roman" w:hAnsi="Times New Roman"/>
          <w:i/>
        </w:rPr>
        <w:t>RJR-MacDonald</w:t>
      </w:r>
      <w:r w:rsidRPr="00966194">
        <w:rPr>
          <w:rFonts w:ascii="Times New Roman" w:hAnsi="Times New Roman"/>
        </w:rPr>
        <w:t xml:space="preserve"> test, the weighing of the balance of convenience has been difficult to sway in favour of </w:t>
      </w:r>
      <w:r w:rsidR="00711575" w:rsidRPr="00966194">
        <w:rPr>
          <w:rFonts w:ascii="Times New Roman" w:hAnsi="Times New Roman"/>
        </w:rPr>
        <w:t>Aboriginal</w:t>
      </w:r>
      <w:r w:rsidRPr="00966194">
        <w:rPr>
          <w:rFonts w:ascii="Times New Roman" w:hAnsi="Times New Roman"/>
        </w:rPr>
        <w:t xml:space="preserve"> rights claims when public economic interests are at risk.</w:t>
      </w:r>
    </w:p>
    <w:p w14:paraId="7F4FB9F7" w14:textId="77777777" w:rsidR="000657B2" w:rsidRPr="00966194" w:rsidRDefault="000657B2" w:rsidP="00966194">
      <w:pPr>
        <w:rPr>
          <w:rFonts w:ascii="Times New Roman" w:hAnsi="Times New Roman"/>
        </w:rPr>
      </w:pPr>
    </w:p>
    <w:p w14:paraId="7530D274" w14:textId="5CEF5738" w:rsidR="000657B2" w:rsidRPr="00966194" w:rsidRDefault="008401EC" w:rsidP="00966194">
      <w:pPr>
        <w:rPr>
          <w:rFonts w:ascii="Times New Roman" w:hAnsi="Times New Roman"/>
        </w:rPr>
      </w:pPr>
      <w:r w:rsidRPr="00966194">
        <w:rPr>
          <w:rFonts w:ascii="Times New Roman" w:hAnsi="Times New Roman"/>
        </w:rPr>
        <w:lastRenderedPageBreak/>
        <w:t>T</w:t>
      </w:r>
      <w:r w:rsidR="000657B2" w:rsidRPr="00966194">
        <w:rPr>
          <w:rFonts w:ascii="Times New Roman" w:hAnsi="Times New Roman"/>
        </w:rPr>
        <w:t xml:space="preserve">he Courts have been encouraging parties to move away from injunction litigation since the </w:t>
      </w:r>
      <w:proofErr w:type="spellStart"/>
      <w:r w:rsidR="000657B2" w:rsidRPr="00966194">
        <w:rPr>
          <w:rFonts w:ascii="Times New Roman" w:hAnsi="Times New Roman"/>
          <w:i/>
        </w:rPr>
        <w:t>Haida</w:t>
      </w:r>
      <w:proofErr w:type="spellEnd"/>
      <w:r w:rsidR="000657B2" w:rsidRPr="00966194">
        <w:rPr>
          <w:rFonts w:ascii="Times New Roman" w:hAnsi="Times New Roman"/>
          <w:i/>
        </w:rPr>
        <w:t xml:space="preserve"> Nation v British Columbia (Minister of Forests)</w:t>
      </w:r>
      <w:r w:rsidR="000657B2" w:rsidRPr="00966194">
        <w:rPr>
          <w:rStyle w:val="FootnoteReference"/>
          <w:rFonts w:ascii="Times New Roman" w:hAnsi="Times New Roman"/>
          <w:i/>
        </w:rPr>
        <w:footnoteReference w:id="20"/>
      </w:r>
      <w:r w:rsidRPr="00966194">
        <w:rPr>
          <w:rFonts w:ascii="Times New Roman" w:hAnsi="Times New Roman"/>
        </w:rPr>
        <w:t xml:space="preserve"> decision. T</w:t>
      </w:r>
      <w:r w:rsidR="000657B2" w:rsidRPr="00966194">
        <w:rPr>
          <w:rFonts w:ascii="Times New Roman" w:hAnsi="Times New Roman"/>
        </w:rPr>
        <w:t>his case highlights the importance of consultation and accommodation as a means to a collaborative resolution pending trial. In fac</w:t>
      </w:r>
      <w:r w:rsidRPr="00966194">
        <w:rPr>
          <w:rFonts w:ascii="Times New Roman" w:hAnsi="Times New Roman"/>
        </w:rPr>
        <w:t>t, the Court notes in this case</w:t>
      </w:r>
      <w:r w:rsidR="000657B2" w:rsidRPr="00966194">
        <w:rPr>
          <w:rFonts w:ascii="Times New Roman" w:hAnsi="Times New Roman"/>
        </w:rPr>
        <w:t xml:space="preserve"> that consultation and accommodation “can exceed the all-or-nothing approach of injunction litigation”</w:t>
      </w:r>
      <w:r w:rsidR="000657B2" w:rsidRPr="00966194">
        <w:rPr>
          <w:rStyle w:val="FootnoteReference"/>
          <w:rFonts w:ascii="Times New Roman" w:hAnsi="Times New Roman"/>
        </w:rPr>
        <w:footnoteReference w:id="21"/>
      </w:r>
      <w:r w:rsidR="000657B2" w:rsidRPr="00966194">
        <w:rPr>
          <w:rFonts w:ascii="Times New Roman" w:hAnsi="Times New Roman"/>
        </w:rPr>
        <w:t>. However, the Crown must do so in good faith, must have an open mind</w:t>
      </w:r>
      <w:r w:rsidR="00B47ABB" w:rsidRPr="00966194">
        <w:rPr>
          <w:rFonts w:ascii="Times New Roman" w:hAnsi="Times New Roman"/>
        </w:rPr>
        <w:t>,</w:t>
      </w:r>
      <w:r w:rsidR="000657B2" w:rsidRPr="00966194">
        <w:rPr>
          <w:rFonts w:ascii="Times New Roman" w:hAnsi="Times New Roman"/>
        </w:rPr>
        <w:t xml:space="preserve"> and cannot exclude any form of accommodation from the start.</w:t>
      </w:r>
      <w:r w:rsidR="000657B2" w:rsidRPr="00966194">
        <w:rPr>
          <w:rStyle w:val="FootnoteReference"/>
          <w:rFonts w:ascii="Times New Roman" w:hAnsi="Times New Roman"/>
        </w:rPr>
        <w:footnoteReference w:id="22"/>
      </w:r>
    </w:p>
    <w:p w14:paraId="31887C88" w14:textId="77777777" w:rsidR="000657B2" w:rsidRPr="00966194" w:rsidRDefault="000657B2" w:rsidP="00966194">
      <w:pPr>
        <w:rPr>
          <w:rFonts w:ascii="Times New Roman" w:hAnsi="Times New Roman"/>
        </w:rPr>
      </w:pPr>
    </w:p>
    <w:p w14:paraId="6D06A526" w14:textId="55039E47" w:rsidR="000657B2" w:rsidRPr="00966194" w:rsidRDefault="000657B2" w:rsidP="00966194">
      <w:pPr>
        <w:rPr>
          <w:rFonts w:ascii="Times New Roman" w:hAnsi="Times New Roman"/>
        </w:rPr>
      </w:pPr>
      <w:r w:rsidRPr="00966194">
        <w:rPr>
          <w:rFonts w:ascii="Times New Roman" w:hAnsi="Times New Roman"/>
        </w:rPr>
        <w:t xml:space="preserve">Finally, </w:t>
      </w:r>
      <w:r w:rsidR="00B47ABB" w:rsidRPr="00966194">
        <w:rPr>
          <w:rFonts w:ascii="Times New Roman" w:hAnsi="Times New Roman"/>
        </w:rPr>
        <w:t>al</w:t>
      </w:r>
      <w:r w:rsidRPr="00966194">
        <w:rPr>
          <w:rFonts w:ascii="Times New Roman" w:hAnsi="Times New Roman"/>
        </w:rPr>
        <w:t xml:space="preserve">though consultation and accommodation is the </w:t>
      </w:r>
      <w:proofErr w:type="spellStart"/>
      <w:r w:rsidRPr="00966194">
        <w:rPr>
          <w:rFonts w:ascii="Times New Roman" w:hAnsi="Times New Roman"/>
        </w:rPr>
        <w:t>favoured</w:t>
      </w:r>
      <w:proofErr w:type="spellEnd"/>
      <w:r w:rsidRPr="00966194">
        <w:rPr>
          <w:rFonts w:ascii="Times New Roman" w:hAnsi="Times New Roman"/>
        </w:rPr>
        <w:t xml:space="preserve"> approach, the Court must remember to consider </w:t>
      </w:r>
      <w:r w:rsidR="00711575" w:rsidRPr="00966194">
        <w:rPr>
          <w:rFonts w:ascii="Times New Roman" w:hAnsi="Times New Roman"/>
        </w:rPr>
        <w:t>Aboriginal</w:t>
      </w:r>
      <w:r w:rsidRPr="00966194">
        <w:rPr>
          <w:rFonts w:ascii="Times New Roman" w:hAnsi="Times New Roman"/>
        </w:rPr>
        <w:t xml:space="preserve"> interests when weighing the balance of convenience. In this case, the Court cited </w:t>
      </w:r>
      <w:proofErr w:type="spellStart"/>
      <w:r w:rsidRPr="00966194">
        <w:rPr>
          <w:rFonts w:ascii="Times New Roman" w:hAnsi="Times New Roman"/>
          <w:i/>
        </w:rPr>
        <w:t>Haida</w:t>
      </w:r>
      <w:proofErr w:type="spellEnd"/>
      <w:r w:rsidRPr="00966194">
        <w:rPr>
          <w:rFonts w:ascii="Times New Roman" w:hAnsi="Times New Roman"/>
        </w:rPr>
        <w:t xml:space="preserve"> when stating that the impact on the economy “does not alone tip the scales</w:t>
      </w:r>
      <w:r w:rsidR="00B47ABB" w:rsidRPr="00966194">
        <w:rPr>
          <w:rFonts w:ascii="Times New Roman" w:hAnsi="Times New Roman"/>
        </w:rPr>
        <w:t>.</w:t>
      </w:r>
      <w:r w:rsidRPr="00966194">
        <w:rPr>
          <w:rFonts w:ascii="Times New Roman" w:hAnsi="Times New Roman"/>
        </w:rPr>
        <w:t>”</w:t>
      </w:r>
      <w:r w:rsidRPr="00966194">
        <w:rPr>
          <w:rStyle w:val="FootnoteReference"/>
          <w:rFonts w:ascii="Times New Roman" w:hAnsi="Times New Roman"/>
        </w:rPr>
        <w:footnoteReference w:id="23"/>
      </w:r>
      <w:r w:rsidR="00B47ABB" w:rsidRPr="00966194">
        <w:rPr>
          <w:rFonts w:ascii="Times New Roman" w:hAnsi="Times New Roman"/>
        </w:rPr>
        <w:t xml:space="preserve"> But</w:t>
      </w:r>
      <w:r w:rsidRPr="00966194">
        <w:rPr>
          <w:rFonts w:ascii="Times New Roman" w:hAnsi="Times New Roman"/>
        </w:rPr>
        <w:t xml:space="preserve"> potential economic harm to public finances and third-party companies were at the core of all three of the reasons justifying the weighing of the balance in favour of the Province. A thorough balance of convenience must properly weigh </w:t>
      </w:r>
      <w:r w:rsidR="00711575" w:rsidRPr="00966194">
        <w:rPr>
          <w:rFonts w:ascii="Times New Roman" w:hAnsi="Times New Roman"/>
        </w:rPr>
        <w:t>Aboriginal</w:t>
      </w:r>
      <w:r w:rsidRPr="00966194">
        <w:rPr>
          <w:rFonts w:ascii="Times New Roman" w:hAnsi="Times New Roman"/>
        </w:rPr>
        <w:t xml:space="preserve"> interests</w:t>
      </w:r>
      <w:r w:rsidR="008401EC" w:rsidRPr="00966194">
        <w:rPr>
          <w:rFonts w:ascii="Times New Roman" w:hAnsi="Times New Roman"/>
        </w:rPr>
        <w:t>,</w:t>
      </w:r>
      <w:r w:rsidRPr="00966194">
        <w:rPr>
          <w:rFonts w:ascii="Times New Roman" w:hAnsi="Times New Roman"/>
        </w:rPr>
        <w:t xml:space="preserve"> as they to</w:t>
      </w:r>
      <w:r w:rsidR="008401EC" w:rsidRPr="00966194">
        <w:rPr>
          <w:rFonts w:ascii="Times New Roman" w:hAnsi="Times New Roman"/>
        </w:rPr>
        <w:t>o</w:t>
      </w:r>
      <w:r w:rsidRPr="00966194">
        <w:rPr>
          <w:rFonts w:ascii="Times New Roman" w:hAnsi="Times New Roman"/>
        </w:rPr>
        <w:t xml:space="preserve"> form</w:t>
      </w:r>
      <w:r w:rsidR="008401EC" w:rsidRPr="00966194">
        <w:rPr>
          <w:rFonts w:ascii="Times New Roman" w:hAnsi="Times New Roman"/>
        </w:rPr>
        <w:t xml:space="preserve"> a significant part of the public interest</w:t>
      </w:r>
      <w:r w:rsidRPr="00966194">
        <w:rPr>
          <w:rFonts w:ascii="Times New Roman" w:hAnsi="Times New Roman"/>
        </w:rPr>
        <w:t>.</w:t>
      </w:r>
    </w:p>
    <w:sectPr w:rsidR="000657B2" w:rsidRPr="00966194" w:rsidSect="000966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853F" w14:textId="77777777" w:rsidR="00DC4393" w:rsidRDefault="00DC4393" w:rsidP="00E70424">
      <w:r>
        <w:separator/>
      </w:r>
    </w:p>
  </w:endnote>
  <w:endnote w:type="continuationSeparator" w:id="0">
    <w:p w14:paraId="3F6F735E" w14:textId="77777777" w:rsidR="00DC4393" w:rsidRDefault="00DC4393"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ntoni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p w14:paraId="57EDC28F" w14:textId="77777777" w:rsidR="00CC24F2" w:rsidRDefault="00CC2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E066" w14:textId="3414614C" w:rsidR="00DC4393" w:rsidRPr="000657B2" w:rsidRDefault="00AC32F7" w:rsidP="000657B2">
    <w:pPr>
      <w:pStyle w:val="Footer"/>
      <w:ind w:right="-99" w:hanging="1134"/>
      <w:rPr>
        <w:rFonts w:ascii="Times New Roman" w:hAnsi="Times New Roman"/>
      </w:rPr>
    </w:pPr>
    <w:r w:rsidRPr="000657B2">
      <w:rPr>
        <w:rFonts w:ascii="Times New Roman" w:hAnsi="Times New Roman"/>
      </w:rPr>
      <w:tab/>
    </w:r>
    <w:r w:rsidR="00D23606" w:rsidRPr="000657B2">
      <w:rPr>
        <w:rFonts w:ascii="Times New Roman" w:hAnsi="Times New Roman"/>
        <w:noProof/>
        <w:lang w:val="en-CA" w:eastAsia="en-CA"/>
      </w:rPr>
      <w:drawing>
        <wp:inline distT="0" distB="0" distL="0" distR="0" wp14:anchorId="24F5B3BE" wp14:editId="3608D1B4">
          <wp:extent cx="5943600" cy="366304"/>
          <wp:effectExtent l="0" t="0" r="0" b="0"/>
          <wp:docPr id="5" name="Picture 5"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6304"/>
                  </a:xfrm>
                  <a:prstGeom prst="rect">
                    <a:avLst/>
                  </a:prstGeom>
                  <a:noFill/>
                  <a:ln>
                    <a:noFill/>
                  </a:ln>
                </pic:spPr>
              </pic:pic>
            </a:graphicData>
          </a:graphic>
        </wp:inline>
      </w:drawing>
    </w:r>
    <w:r w:rsidR="00D23606" w:rsidRPr="000657B2">
      <w:rPr>
        <w:rFonts w:ascii="Times New Roman" w:hAnsi="Times New Roman"/>
      </w:rPr>
      <w:fldChar w:fldCharType="begin"/>
    </w:r>
    <w:r w:rsidR="00D23606" w:rsidRPr="000657B2">
      <w:rPr>
        <w:rFonts w:ascii="Times New Roman" w:hAnsi="Times New Roman"/>
      </w:rPr>
      <w:instrText xml:space="preserve"> PAGE   \* MERGEFORMAT </w:instrText>
    </w:r>
    <w:r w:rsidR="00D23606" w:rsidRPr="000657B2">
      <w:rPr>
        <w:rFonts w:ascii="Times New Roman" w:hAnsi="Times New Roman"/>
      </w:rPr>
      <w:fldChar w:fldCharType="separate"/>
    </w:r>
    <w:r w:rsidR="00F60BBE">
      <w:rPr>
        <w:rFonts w:ascii="Times New Roman" w:hAnsi="Times New Roman"/>
        <w:noProof/>
      </w:rPr>
      <w:t>4</w:t>
    </w:r>
    <w:r w:rsidR="00D23606" w:rsidRPr="000657B2">
      <w:rPr>
        <w:rFonts w:ascii="Times New Roman" w:hAnsi="Times New Roman"/>
        <w:noProof/>
      </w:rPr>
      <w:fldChar w:fldCharType="end"/>
    </w:r>
  </w:p>
  <w:p w14:paraId="2249FA31" w14:textId="77777777" w:rsidR="00CC24F2" w:rsidRPr="000657B2" w:rsidRDefault="00CC24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0CE56E17" w:rsidR="00DC4393" w:rsidRPr="00AC32F7" w:rsidRDefault="00AC32F7" w:rsidP="00AC32F7">
    <w:pPr>
      <w:pStyle w:val="Footer"/>
      <w:ind w:right="-99" w:hanging="1134"/>
    </w:pPr>
    <w:r>
      <w:tab/>
    </w:r>
    <w:r w:rsidR="009C1338" w:rsidRPr="00AC32F7">
      <w:rPr>
        <w:rFonts w:hint="eastAsia"/>
        <w:noProof/>
        <w:lang w:val="en-CA" w:eastAsia="en-CA"/>
      </w:rPr>
      <w:drawing>
        <wp:inline distT="0" distB="0" distL="0" distR="0" wp14:anchorId="7FBDF14F" wp14:editId="653C8631">
          <wp:extent cx="6934200" cy="427770"/>
          <wp:effectExtent l="0" t="0" r="0" b="4445"/>
          <wp:docPr id="2" name="Picture 2"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9EC6" w14:textId="77777777" w:rsidR="00DC4393" w:rsidRDefault="00DC4393" w:rsidP="00E70424">
      <w:pPr>
        <w:rPr>
          <w:noProof/>
        </w:rPr>
      </w:pPr>
      <w:r>
        <w:rPr>
          <w:noProof/>
        </w:rPr>
        <w:separator/>
      </w:r>
    </w:p>
  </w:footnote>
  <w:footnote w:type="continuationSeparator" w:id="0">
    <w:p w14:paraId="706A7F3B" w14:textId="77777777" w:rsidR="00DC4393" w:rsidRDefault="00DC4393" w:rsidP="00E70424">
      <w:r>
        <w:continuationSeparator/>
      </w:r>
    </w:p>
  </w:footnote>
  <w:footnote w:id="1">
    <w:p w14:paraId="32FA8A22"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Yahey</w:t>
      </w:r>
      <w:proofErr w:type="spellEnd"/>
      <w:r w:rsidRPr="00566760">
        <w:rPr>
          <w:rFonts w:ascii="Times New Roman" w:hAnsi="Times New Roman"/>
          <w:i/>
        </w:rPr>
        <w:t xml:space="preserve"> v British Columbia</w:t>
      </w:r>
      <w:r w:rsidRPr="00566760">
        <w:rPr>
          <w:rFonts w:ascii="Times New Roman" w:hAnsi="Times New Roman"/>
        </w:rPr>
        <w:t>, 2017 BCSC 899 at para 21 [</w:t>
      </w:r>
      <w:proofErr w:type="spellStart"/>
      <w:r w:rsidRPr="00566760">
        <w:rPr>
          <w:rFonts w:ascii="Times New Roman" w:hAnsi="Times New Roman"/>
          <w:i/>
        </w:rPr>
        <w:t>Yahey</w:t>
      </w:r>
      <w:proofErr w:type="spellEnd"/>
      <w:r w:rsidRPr="00566760">
        <w:rPr>
          <w:rFonts w:ascii="Times New Roman" w:hAnsi="Times New Roman"/>
        </w:rPr>
        <w:t>].</w:t>
      </w:r>
    </w:p>
  </w:footnote>
  <w:footnote w:id="2">
    <w:p w14:paraId="0C268F9E"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21.</w:t>
      </w:r>
    </w:p>
  </w:footnote>
  <w:footnote w:id="3">
    <w:p w14:paraId="127E3308"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4.</w:t>
      </w:r>
    </w:p>
  </w:footnote>
  <w:footnote w:id="4">
    <w:p w14:paraId="0E78684A"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6.</w:t>
      </w:r>
    </w:p>
  </w:footnote>
  <w:footnote w:id="5">
    <w:p w14:paraId="3C45A311"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3.</w:t>
      </w:r>
    </w:p>
  </w:footnote>
  <w:footnote w:id="6">
    <w:p w14:paraId="568DA841"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RJR-MacDonald </w:t>
      </w:r>
      <w:proofErr w:type="spellStart"/>
      <w:r w:rsidRPr="00566760">
        <w:rPr>
          <w:rFonts w:ascii="Times New Roman" w:hAnsi="Times New Roman"/>
          <w:i/>
        </w:rPr>
        <w:t>Inc</w:t>
      </w:r>
      <w:proofErr w:type="spellEnd"/>
      <w:r w:rsidRPr="00566760">
        <w:rPr>
          <w:rFonts w:ascii="Times New Roman" w:hAnsi="Times New Roman"/>
          <w:i/>
        </w:rPr>
        <w:t xml:space="preserve"> v Canada (Attorney General), </w:t>
      </w:r>
      <w:r w:rsidRPr="00566760">
        <w:rPr>
          <w:rFonts w:ascii="Times New Roman" w:hAnsi="Times New Roman"/>
        </w:rPr>
        <w:t>[1994] 1 SCR 311, 164 NR 1 [</w:t>
      </w:r>
      <w:r w:rsidRPr="00566760">
        <w:rPr>
          <w:rFonts w:ascii="Times New Roman" w:hAnsi="Times New Roman"/>
          <w:i/>
        </w:rPr>
        <w:t>RJR-MacDonald</w:t>
      </w:r>
      <w:r w:rsidRPr="00566760">
        <w:rPr>
          <w:rFonts w:ascii="Times New Roman" w:hAnsi="Times New Roman"/>
        </w:rPr>
        <w:t>].</w:t>
      </w:r>
    </w:p>
  </w:footnote>
  <w:footnote w:id="7">
    <w:p w14:paraId="137CA0BB"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Yahey</w:t>
      </w:r>
      <w:proofErr w:type="spellEnd"/>
      <w:r w:rsidRPr="00566760">
        <w:rPr>
          <w:rFonts w:ascii="Times New Roman" w:hAnsi="Times New Roman"/>
          <w:i/>
        </w:rPr>
        <w:t xml:space="preserve">, supra </w:t>
      </w:r>
      <w:r w:rsidRPr="00566760">
        <w:rPr>
          <w:rFonts w:ascii="Times New Roman" w:hAnsi="Times New Roman"/>
        </w:rPr>
        <w:t>note 1 at paras 34 &amp; 35.</w:t>
      </w:r>
    </w:p>
  </w:footnote>
  <w:footnote w:id="8">
    <w:p w14:paraId="28DC4C51"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42.</w:t>
      </w:r>
    </w:p>
  </w:footnote>
  <w:footnote w:id="9">
    <w:p w14:paraId="266875AD"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 xml:space="preserve">at para 47 citing </w:t>
      </w:r>
      <w:r w:rsidRPr="00566760">
        <w:rPr>
          <w:rFonts w:ascii="Times New Roman" w:hAnsi="Times New Roman"/>
          <w:i/>
        </w:rPr>
        <w:t xml:space="preserve">RJR-MacDonald, supra </w:t>
      </w:r>
      <w:r w:rsidRPr="00566760">
        <w:rPr>
          <w:rFonts w:ascii="Times New Roman" w:hAnsi="Times New Roman"/>
        </w:rPr>
        <w:t>note 8</w:t>
      </w:r>
      <w:r w:rsidRPr="00566760">
        <w:rPr>
          <w:rFonts w:ascii="Times New Roman" w:hAnsi="Times New Roman"/>
          <w:i/>
        </w:rPr>
        <w:t xml:space="preserve"> </w:t>
      </w:r>
      <w:r w:rsidRPr="00566760">
        <w:rPr>
          <w:rFonts w:ascii="Times New Roman" w:hAnsi="Times New Roman"/>
        </w:rPr>
        <w:t>at para 59.</w:t>
      </w:r>
    </w:p>
  </w:footnote>
  <w:footnote w:id="10">
    <w:p w14:paraId="107734CF"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93.</w:t>
      </w:r>
    </w:p>
  </w:footnote>
  <w:footnote w:id="11">
    <w:p w14:paraId="48319D33"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88.</w:t>
      </w:r>
    </w:p>
  </w:footnote>
  <w:footnote w:id="12">
    <w:p w14:paraId="6F742EF0"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49.</w:t>
      </w:r>
    </w:p>
  </w:footnote>
  <w:footnote w:id="13">
    <w:p w14:paraId="5739A466"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52.</w:t>
      </w:r>
    </w:p>
  </w:footnote>
  <w:footnote w:id="14">
    <w:p w14:paraId="5964B698"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99.</w:t>
      </w:r>
    </w:p>
  </w:footnote>
  <w:footnote w:id="15">
    <w:p w14:paraId="07BDC162"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paras 103-104.</w:t>
      </w:r>
    </w:p>
  </w:footnote>
  <w:footnote w:id="16">
    <w:p w14:paraId="15B0901D"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106.</w:t>
      </w:r>
    </w:p>
  </w:footnote>
  <w:footnote w:id="17">
    <w:p w14:paraId="4DC0652E"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111.</w:t>
      </w:r>
    </w:p>
  </w:footnote>
  <w:footnote w:id="18">
    <w:p w14:paraId="68F66761"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112.</w:t>
      </w:r>
    </w:p>
  </w:footnote>
  <w:footnote w:id="19">
    <w:p w14:paraId="4FE8F3FE"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r w:rsidRPr="00566760">
        <w:rPr>
          <w:rFonts w:ascii="Times New Roman" w:hAnsi="Times New Roman"/>
          <w:i/>
        </w:rPr>
        <w:t xml:space="preserve">Ibid, </w:t>
      </w:r>
      <w:r w:rsidRPr="00566760">
        <w:rPr>
          <w:rFonts w:ascii="Times New Roman" w:hAnsi="Times New Roman"/>
        </w:rPr>
        <w:t>at para 113.</w:t>
      </w:r>
    </w:p>
  </w:footnote>
  <w:footnote w:id="20">
    <w:p w14:paraId="36E52580"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Haida</w:t>
      </w:r>
      <w:proofErr w:type="spellEnd"/>
      <w:r w:rsidRPr="00566760">
        <w:rPr>
          <w:rFonts w:ascii="Times New Roman" w:hAnsi="Times New Roman"/>
          <w:i/>
        </w:rPr>
        <w:t xml:space="preserve"> Nation v British Columbia (Minister of Forests), </w:t>
      </w:r>
      <w:r w:rsidRPr="00566760">
        <w:rPr>
          <w:rFonts w:ascii="Times New Roman" w:hAnsi="Times New Roman"/>
        </w:rPr>
        <w:t>2004 SCC 73, [2004] 3 SCR 511 [</w:t>
      </w:r>
      <w:proofErr w:type="spellStart"/>
      <w:r w:rsidRPr="00566760">
        <w:rPr>
          <w:rFonts w:ascii="Times New Roman" w:hAnsi="Times New Roman"/>
          <w:i/>
        </w:rPr>
        <w:t>Haida</w:t>
      </w:r>
      <w:proofErr w:type="spellEnd"/>
      <w:r w:rsidRPr="00566760">
        <w:rPr>
          <w:rFonts w:ascii="Times New Roman" w:hAnsi="Times New Roman"/>
        </w:rPr>
        <w:t>].</w:t>
      </w:r>
    </w:p>
  </w:footnote>
  <w:footnote w:id="21">
    <w:p w14:paraId="0FDC6B41"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Yahey</w:t>
      </w:r>
      <w:proofErr w:type="spellEnd"/>
      <w:r w:rsidRPr="00566760">
        <w:rPr>
          <w:rFonts w:ascii="Times New Roman" w:hAnsi="Times New Roman"/>
          <w:i/>
        </w:rPr>
        <w:t xml:space="preserve">, supra </w:t>
      </w:r>
      <w:r w:rsidRPr="00566760">
        <w:rPr>
          <w:rFonts w:ascii="Times New Roman" w:hAnsi="Times New Roman"/>
        </w:rPr>
        <w:t xml:space="preserve">note 1 at para 125 citing </w:t>
      </w:r>
      <w:proofErr w:type="spellStart"/>
      <w:r w:rsidRPr="00566760">
        <w:rPr>
          <w:rFonts w:ascii="Times New Roman" w:hAnsi="Times New Roman"/>
          <w:i/>
        </w:rPr>
        <w:t>Haida</w:t>
      </w:r>
      <w:proofErr w:type="spellEnd"/>
      <w:r w:rsidRPr="00566760">
        <w:rPr>
          <w:rFonts w:ascii="Times New Roman" w:hAnsi="Times New Roman"/>
          <w:i/>
        </w:rPr>
        <w:t xml:space="preserve">, supra </w:t>
      </w:r>
      <w:r w:rsidRPr="00566760">
        <w:rPr>
          <w:rFonts w:ascii="Times New Roman" w:hAnsi="Times New Roman"/>
        </w:rPr>
        <w:t>note 26 at para 14.</w:t>
      </w:r>
    </w:p>
  </w:footnote>
  <w:footnote w:id="22">
    <w:p w14:paraId="160B6898" w14:textId="77777777" w:rsidR="000657B2" w:rsidRPr="00566760" w:rsidRDefault="000657B2" w:rsidP="000657B2">
      <w:pPr>
        <w:pStyle w:val="FootnoteText"/>
        <w:rPr>
          <w:rFonts w:ascii="Times New Roman" w:hAnsi="Times New Roman"/>
        </w:rPr>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Mikisew</w:t>
      </w:r>
      <w:proofErr w:type="spellEnd"/>
      <w:r w:rsidRPr="00566760">
        <w:rPr>
          <w:rFonts w:ascii="Times New Roman" w:hAnsi="Times New Roman"/>
          <w:i/>
        </w:rPr>
        <w:t xml:space="preserve"> Cree First Nation v Canada (Minister of Canadian Heritage)</w:t>
      </w:r>
      <w:r w:rsidRPr="00566760">
        <w:rPr>
          <w:rFonts w:ascii="Times New Roman" w:hAnsi="Times New Roman"/>
        </w:rPr>
        <w:t>, 2005 SCC 69 at para 54, [2005] 3 S.C.R. 388 [</w:t>
      </w:r>
      <w:proofErr w:type="spellStart"/>
      <w:r w:rsidRPr="00566760">
        <w:rPr>
          <w:rFonts w:ascii="Times New Roman" w:hAnsi="Times New Roman"/>
          <w:i/>
        </w:rPr>
        <w:t>Mikisew</w:t>
      </w:r>
      <w:proofErr w:type="spellEnd"/>
      <w:r w:rsidRPr="00566760">
        <w:rPr>
          <w:rFonts w:ascii="Times New Roman" w:hAnsi="Times New Roman"/>
          <w:i/>
        </w:rPr>
        <w:t xml:space="preserve"> Cree First Nation</w:t>
      </w:r>
      <w:r w:rsidRPr="00566760">
        <w:rPr>
          <w:rFonts w:ascii="Times New Roman" w:hAnsi="Times New Roman"/>
        </w:rPr>
        <w:t>].</w:t>
      </w:r>
    </w:p>
  </w:footnote>
  <w:footnote w:id="23">
    <w:p w14:paraId="4EB849BD" w14:textId="77777777" w:rsidR="000657B2" w:rsidRDefault="000657B2" w:rsidP="000657B2">
      <w:pPr>
        <w:pStyle w:val="FootnoteText"/>
      </w:pPr>
      <w:r w:rsidRPr="00566760">
        <w:rPr>
          <w:rStyle w:val="FootnoteReference"/>
          <w:rFonts w:ascii="Times New Roman" w:hAnsi="Times New Roman"/>
        </w:rPr>
        <w:footnoteRef/>
      </w:r>
      <w:r w:rsidRPr="00566760">
        <w:rPr>
          <w:rFonts w:ascii="Times New Roman" w:hAnsi="Times New Roman"/>
        </w:rPr>
        <w:t xml:space="preserve"> </w:t>
      </w:r>
      <w:proofErr w:type="spellStart"/>
      <w:r w:rsidRPr="00566760">
        <w:rPr>
          <w:rFonts w:ascii="Times New Roman" w:hAnsi="Times New Roman"/>
          <w:i/>
        </w:rPr>
        <w:t>Yahey</w:t>
      </w:r>
      <w:proofErr w:type="spellEnd"/>
      <w:r w:rsidRPr="00566760">
        <w:rPr>
          <w:rFonts w:ascii="Times New Roman" w:hAnsi="Times New Roman"/>
          <w:i/>
        </w:rPr>
        <w:t xml:space="preserve">, supra </w:t>
      </w:r>
      <w:r w:rsidRPr="00566760">
        <w:rPr>
          <w:rFonts w:ascii="Times New Roman" w:hAnsi="Times New Roman"/>
        </w:rPr>
        <w:t xml:space="preserve">note 1 at 105 citing </w:t>
      </w:r>
      <w:proofErr w:type="spellStart"/>
      <w:r w:rsidRPr="00566760">
        <w:rPr>
          <w:rFonts w:ascii="Times New Roman" w:hAnsi="Times New Roman"/>
          <w:i/>
        </w:rPr>
        <w:t>Haida</w:t>
      </w:r>
      <w:proofErr w:type="spellEnd"/>
      <w:r w:rsidRPr="00566760">
        <w:rPr>
          <w:rFonts w:ascii="Times New Roman" w:hAnsi="Times New Roman"/>
          <w:i/>
        </w:rPr>
        <w:t xml:space="preserve">, supra </w:t>
      </w:r>
      <w:r w:rsidRPr="00566760">
        <w:rPr>
          <w:rFonts w:ascii="Times New Roman" w:hAnsi="Times New Roman"/>
        </w:rPr>
        <w:t>note 26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p w14:paraId="5630AE75" w14:textId="77777777" w:rsidR="00CC24F2" w:rsidRDefault="00CC2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703" w14:textId="0CB0EDE7" w:rsidR="00DC4393" w:rsidRDefault="009C1338" w:rsidP="00AB1898">
    <w:pPr>
      <w:pStyle w:val="Default"/>
      <w:ind w:hanging="1134"/>
    </w:pPr>
    <w:r>
      <w:rPr>
        <w:noProof/>
        <w:lang w:val="en-CA" w:eastAsia="en-CA"/>
      </w:rPr>
      <w:drawing>
        <wp:anchor distT="0" distB="0" distL="114300" distR="114300" simplePos="0" relativeHeight="251659264" behindDoc="0" locked="0" layoutInCell="1" allowOverlap="1" wp14:anchorId="640DD668" wp14:editId="0115CE1D">
          <wp:simplePos x="0" y="0"/>
          <wp:positionH relativeFrom="margin">
            <wp:align>left</wp:align>
          </wp:positionH>
          <wp:positionV relativeFrom="paragraph">
            <wp:posOffset>-1905</wp:posOffset>
          </wp:positionV>
          <wp:extent cx="1837267" cy="824766"/>
          <wp:effectExtent l="0" t="0" r="0" b="0"/>
          <wp:wrapSquare wrapText="bothSides"/>
          <wp:docPr id="3" name="Picture 3"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r w:rsidR="000966AA">
      <w:tab/>
    </w:r>
  </w:p>
  <w:p w14:paraId="7AA364EC" w14:textId="77777777" w:rsidR="000966AA" w:rsidRDefault="000966AA" w:rsidP="00AB1898">
    <w:pPr>
      <w:pStyle w:val="Default"/>
      <w:ind w:hanging="1134"/>
    </w:pPr>
  </w:p>
  <w:p w14:paraId="2DF6753C" w14:textId="77777777" w:rsidR="000966AA" w:rsidRDefault="000966AA" w:rsidP="00AB1898">
    <w:pPr>
      <w:pStyle w:val="Default"/>
      <w:ind w:hanging="1134"/>
    </w:pPr>
  </w:p>
  <w:p w14:paraId="62FC38A4" w14:textId="77777777" w:rsidR="000966AA" w:rsidRPr="00112870" w:rsidRDefault="000966AA" w:rsidP="00AB1898">
    <w:pPr>
      <w:pStyle w:val="Default"/>
      <w:ind w:hanging="1134"/>
    </w:pPr>
  </w:p>
  <w:p w14:paraId="2A97587E" w14:textId="7B5FD8B8" w:rsidR="00DC4393" w:rsidRPr="001621C0" w:rsidRDefault="00DC4393" w:rsidP="001621C0">
    <w:pPr>
      <w:pStyle w:val="Header"/>
      <w:tabs>
        <w:tab w:val="clear" w:pos="4320"/>
      </w:tabs>
      <w:jc w:val="right"/>
      <w:rPr>
        <w:rFonts w:ascii="Futura Std Condensed" w:hAnsi="Futura Std Condensed"/>
        <w:sz w:val="32"/>
        <w:szCs w:val="32"/>
      </w:rPr>
    </w:pPr>
  </w:p>
  <w:p w14:paraId="21D46905" w14:textId="77777777" w:rsidR="00CC24F2" w:rsidRDefault="00CC24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3521201A" w:rsidR="00DC4393" w:rsidRPr="001621C0" w:rsidRDefault="00B85E94" w:rsidP="004818CE">
    <w:pPr>
      <w:pStyle w:val="Header"/>
      <w:tabs>
        <w:tab w:val="clear" w:pos="4320"/>
      </w:tabs>
      <w:ind w:right="-99" w:hanging="1134"/>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8240" behindDoc="0" locked="0" layoutInCell="1" allowOverlap="1" wp14:anchorId="473329AB" wp14:editId="024CD71A">
          <wp:simplePos x="0" y="0"/>
          <wp:positionH relativeFrom="margin">
            <wp:align>center</wp:align>
          </wp:positionH>
          <wp:positionV relativeFrom="paragraph">
            <wp:posOffset>-1905</wp:posOffset>
          </wp:positionV>
          <wp:extent cx="6877131" cy="1007534"/>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131" cy="1007534"/>
                  </a:xfrm>
                  <a:prstGeom prst="rect">
                    <a:avLst/>
                  </a:prstGeom>
                </pic:spPr>
              </pic:pic>
            </a:graphicData>
          </a:graphic>
        </wp:anchor>
      </w:drawing>
    </w:r>
  </w:p>
  <w:p w14:paraId="64034BD2" w14:textId="77777777" w:rsidR="00DC4393" w:rsidRDefault="00DC4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22666"/>
    <w:rsid w:val="000657B2"/>
    <w:rsid w:val="0008602A"/>
    <w:rsid w:val="000966AA"/>
    <w:rsid w:val="000C458B"/>
    <w:rsid w:val="001127B3"/>
    <w:rsid w:val="00112870"/>
    <w:rsid w:val="00122402"/>
    <w:rsid w:val="001621C0"/>
    <w:rsid w:val="001B6B54"/>
    <w:rsid w:val="002345D6"/>
    <w:rsid w:val="002724AE"/>
    <w:rsid w:val="00272F09"/>
    <w:rsid w:val="002B4A41"/>
    <w:rsid w:val="002D1BBB"/>
    <w:rsid w:val="00311D33"/>
    <w:rsid w:val="0040546F"/>
    <w:rsid w:val="00421BB6"/>
    <w:rsid w:val="00472F16"/>
    <w:rsid w:val="004818CE"/>
    <w:rsid w:val="0049181D"/>
    <w:rsid w:val="004E4EEE"/>
    <w:rsid w:val="00566760"/>
    <w:rsid w:val="00572E3A"/>
    <w:rsid w:val="006611D5"/>
    <w:rsid w:val="00711575"/>
    <w:rsid w:val="00715F3B"/>
    <w:rsid w:val="00717775"/>
    <w:rsid w:val="00791F37"/>
    <w:rsid w:val="007B6286"/>
    <w:rsid w:val="0081598A"/>
    <w:rsid w:val="00826CD2"/>
    <w:rsid w:val="008303BA"/>
    <w:rsid w:val="008401EC"/>
    <w:rsid w:val="00886F2D"/>
    <w:rsid w:val="008A3975"/>
    <w:rsid w:val="008E0538"/>
    <w:rsid w:val="00941DFE"/>
    <w:rsid w:val="00966194"/>
    <w:rsid w:val="00987C35"/>
    <w:rsid w:val="009C1338"/>
    <w:rsid w:val="00A32239"/>
    <w:rsid w:val="00A56DBE"/>
    <w:rsid w:val="00A730A3"/>
    <w:rsid w:val="00A97403"/>
    <w:rsid w:val="00AB01C8"/>
    <w:rsid w:val="00AB1898"/>
    <w:rsid w:val="00AC32F7"/>
    <w:rsid w:val="00AC4C0C"/>
    <w:rsid w:val="00B47ABB"/>
    <w:rsid w:val="00B568B3"/>
    <w:rsid w:val="00B60B5B"/>
    <w:rsid w:val="00B70065"/>
    <w:rsid w:val="00B85E94"/>
    <w:rsid w:val="00C07C94"/>
    <w:rsid w:val="00CC24F2"/>
    <w:rsid w:val="00D23606"/>
    <w:rsid w:val="00DC3169"/>
    <w:rsid w:val="00DC4393"/>
    <w:rsid w:val="00DD2F63"/>
    <w:rsid w:val="00DE3FDC"/>
    <w:rsid w:val="00DE40E6"/>
    <w:rsid w:val="00E27833"/>
    <w:rsid w:val="00E70424"/>
    <w:rsid w:val="00E72C98"/>
    <w:rsid w:val="00E970D5"/>
    <w:rsid w:val="00EB0626"/>
    <w:rsid w:val="00F60BBE"/>
    <w:rsid w:val="00FD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9E0C82C"/>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5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1598A"/>
  </w:style>
  <w:style w:type="character" w:customStyle="1" w:styleId="FootnoteTextChar">
    <w:name w:val="Footnote Text Char"/>
    <w:basedOn w:val="DefaultParagraphFont"/>
    <w:link w:val="FootnoteText"/>
    <w:uiPriority w:val="99"/>
    <w:rsid w:val="0081598A"/>
  </w:style>
  <w:style w:type="character" w:styleId="FootnoteReference">
    <w:name w:val="footnote reference"/>
    <w:uiPriority w:val="99"/>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character" w:styleId="Hyperlink">
    <w:name w:val="Hyperlink"/>
    <w:basedOn w:val="DefaultParagraphFont"/>
    <w:uiPriority w:val="99"/>
    <w:unhideWhenUsed/>
    <w:rsid w:val="000C4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72148">
      <w:bodyDiv w:val="1"/>
      <w:marLeft w:val="0"/>
      <w:marRight w:val="0"/>
      <w:marTop w:val="0"/>
      <w:marBottom w:val="0"/>
      <w:divBdr>
        <w:top w:val="none" w:sz="0" w:space="0" w:color="auto"/>
        <w:left w:val="none" w:sz="0" w:space="0" w:color="auto"/>
        <w:bottom w:val="none" w:sz="0" w:space="0" w:color="auto"/>
        <w:right w:val="none" w:sz="0" w:space="0" w:color="auto"/>
      </w:divBdr>
      <w:divsChild>
        <w:div w:id="1759327575">
          <w:marLeft w:val="0"/>
          <w:marRight w:val="0"/>
          <w:marTop w:val="0"/>
          <w:marBottom w:val="0"/>
          <w:divBdr>
            <w:top w:val="none" w:sz="0" w:space="0" w:color="auto"/>
            <w:left w:val="none" w:sz="0" w:space="0" w:color="auto"/>
            <w:bottom w:val="none" w:sz="0" w:space="0" w:color="auto"/>
            <w:right w:val="none" w:sz="0" w:space="0" w:color="auto"/>
          </w:divBdr>
        </w:div>
        <w:div w:id="1522552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D4037-10F0-4302-BFF6-E4F37571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6302</Characters>
  <Application>Microsoft Office Word</Application>
  <DocSecurity>0</DocSecurity>
  <PresentationFormat/>
  <Lines>106</Lines>
  <Paragraphs>28</Paragraphs>
  <ScaleCrop>false</ScaleCrop>
  <HeadingPairs>
    <vt:vector size="2" baseType="variant">
      <vt:variant>
        <vt:lpstr>Title</vt:lpstr>
      </vt:variant>
      <vt:variant>
        <vt:i4>1</vt:i4>
      </vt:variant>
    </vt:vector>
  </HeadingPairs>
  <TitlesOfParts>
    <vt:vector size="1" baseType="lpstr">
      <vt:lpstr/>
    </vt:vector>
  </TitlesOfParts>
  <Company>Design de Plume</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wdNOSTAMP</dc:subject>
  <dc:creator>Design de Plume</dc:creator>
  <cp:keywords/>
  <dc:description>DO NOT STAMP</dc:description>
  <cp:lastModifiedBy>Heather Webster</cp:lastModifiedBy>
  <cp:revision>3</cp:revision>
  <cp:lastPrinted>2017-07-21T14:01:00Z</cp:lastPrinted>
  <dcterms:created xsi:type="dcterms:W3CDTF">2017-08-10T20:54:00Z</dcterms:created>
  <dcterms:modified xsi:type="dcterms:W3CDTF">2017-08-10T20:54:00Z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