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2552B" w14:textId="77777777" w:rsidR="0022073E" w:rsidRDefault="0022073E" w:rsidP="0022073E">
      <w:pPr>
        <w:widowControl w:val="0"/>
        <w:autoSpaceDE w:val="0"/>
        <w:autoSpaceDN w:val="0"/>
        <w:adjustRightInd w:val="0"/>
        <w:spacing w:after="240" w:line="360" w:lineRule="atLeast"/>
        <w:rPr>
          <w:rFonts w:ascii="Times New Roman" w:hAnsi="Times New Roman"/>
          <w:b/>
          <w:sz w:val="28"/>
          <w:szCs w:val="28"/>
        </w:rPr>
      </w:pPr>
      <w:bookmarkStart w:id="0" w:name="_GoBack"/>
      <w:bookmarkEnd w:id="0"/>
      <w:r w:rsidRPr="006C6A84">
        <w:rPr>
          <w:rFonts w:ascii="Times New Roman" w:eastAsia="Times New Roman" w:hAnsi="Times New Roman"/>
          <w:b/>
          <w:sz w:val="28"/>
          <w:szCs w:val="28"/>
          <w:lang w:val="en-CA"/>
        </w:rPr>
        <w:t xml:space="preserve">Huu-ay-aht First Nations v. Her Majesty the Queen in Right of Canada </w:t>
      </w:r>
      <w:r w:rsidRPr="006C6A84">
        <w:rPr>
          <w:rFonts w:ascii="Times New Roman" w:hAnsi="Times New Roman"/>
          <w:b/>
          <w:sz w:val="28"/>
          <w:szCs w:val="28"/>
        </w:rPr>
        <w:t xml:space="preserve">2016 SCTC 14 </w:t>
      </w:r>
    </w:p>
    <w:p w14:paraId="089B2761" w14:textId="66102376" w:rsidR="00182F9C" w:rsidRPr="00182F9C" w:rsidRDefault="00182F9C" w:rsidP="00182F9C">
      <w:pPr>
        <w:widowControl w:val="0"/>
        <w:autoSpaceDE w:val="0"/>
        <w:autoSpaceDN w:val="0"/>
        <w:adjustRightInd w:val="0"/>
        <w:rPr>
          <w:rFonts w:ascii="Times New Roman" w:hAnsi="Times New Roman"/>
          <w:b/>
          <w:szCs w:val="28"/>
        </w:rPr>
      </w:pPr>
      <w:r w:rsidRPr="00182F9C">
        <w:rPr>
          <w:rFonts w:ascii="Times New Roman" w:hAnsi="Times New Roman"/>
          <w:b/>
          <w:szCs w:val="28"/>
        </w:rPr>
        <w:t>Written By: Melodi Alopaeus</w:t>
      </w:r>
    </w:p>
    <w:p w14:paraId="43426B03" w14:textId="6AE459A6" w:rsidR="00182F9C" w:rsidRPr="00182F9C" w:rsidRDefault="00182F9C" w:rsidP="00182F9C">
      <w:pPr>
        <w:widowControl w:val="0"/>
        <w:autoSpaceDE w:val="0"/>
        <w:autoSpaceDN w:val="0"/>
        <w:adjustRightInd w:val="0"/>
        <w:rPr>
          <w:rFonts w:ascii="Times New Roman" w:hAnsi="Times New Roman"/>
          <w:b/>
          <w:szCs w:val="28"/>
        </w:rPr>
      </w:pPr>
      <w:r w:rsidRPr="00182F9C">
        <w:rPr>
          <w:rFonts w:ascii="Times New Roman" w:hAnsi="Times New Roman"/>
          <w:b/>
          <w:szCs w:val="28"/>
        </w:rPr>
        <w:t>Reviewed By: Nicole Wong Tomchuk</w:t>
      </w:r>
    </w:p>
    <w:p w14:paraId="1A03C607" w14:textId="77777777" w:rsidR="00182F9C" w:rsidRPr="006C6A84" w:rsidRDefault="00182F9C" w:rsidP="00182F9C">
      <w:pPr>
        <w:widowControl w:val="0"/>
        <w:autoSpaceDE w:val="0"/>
        <w:autoSpaceDN w:val="0"/>
        <w:adjustRightInd w:val="0"/>
        <w:rPr>
          <w:rFonts w:ascii="Times New Roman" w:hAnsi="Times New Roman"/>
          <w:b/>
          <w:sz w:val="28"/>
          <w:szCs w:val="28"/>
        </w:rPr>
      </w:pPr>
    </w:p>
    <w:p w14:paraId="5D2A379F" w14:textId="7C3FF96C" w:rsidR="0022073E" w:rsidRDefault="0022073E" w:rsidP="0022073E">
      <w:pPr>
        <w:spacing w:line="276" w:lineRule="auto"/>
        <w:rPr>
          <w:rFonts w:ascii="Times New Roman" w:eastAsia="Times New Roman" w:hAnsi="Times New Roman"/>
          <w:lang w:val="en-CA"/>
        </w:rPr>
      </w:pPr>
      <w:r>
        <w:rPr>
          <w:rFonts w:ascii="Times New Roman" w:eastAsia="Times New Roman" w:hAnsi="Times New Roman"/>
          <w:lang w:val="en-CA"/>
        </w:rPr>
        <w:t>O</w:t>
      </w:r>
      <w:r w:rsidRPr="009841F5">
        <w:rPr>
          <w:rFonts w:ascii="Times New Roman" w:eastAsia="Times New Roman" w:hAnsi="Times New Roman"/>
          <w:lang w:val="en-CA"/>
        </w:rPr>
        <w:t>n December 16, 2016, the Specific Claims Tribunal awarded the Huu-ay-aht First Nation (</w:t>
      </w:r>
      <w:r>
        <w:rPr>
          <w:rFonts w:ascii="Times New Roman" w:eastAsia="Times New Roman" w:hAnsi="Times New Roman"/>
          <w:lang w:val="en-CA"/>
        </w:rPr>
        <w:t>“</w:t>
      </w:r>
      <w:r w:rsidRPr="009841F5">
        <w:rPr>
          <w:rFonts w:ascii="Times New Roman" w:eastAsia="Times New Roman" w:hAnsi="Times New Roman"/>
          <w:lang w:val="en-CA"/>
        </w:rPr>
        <w:t>HFN</w:t>
      </w:r>
      <w:r>
        <w:rPr>
          <w:rFonts w:ascii="Times New Roman" w:eastAsia="Times New Roman" w:hAnsi="Times New Roman"/>
          <w:lang w:val="en-CA"/>
        </w:rPr>
        <w:t>”</w:t>
      </w:r>
      <w:r w:rsidRPr="009841F5">
        <w:rPr>
          <w:rFonts w:ascii="Times New Roman" w:eastAsia="Times New Roman" w:hAnsi="Times New Roman"/>
          <w:lang w:val="en-CA"/>
        </w:rPr>
        <w:t>) $13.88 million</w:t>
      </w:r>
      <w:r>
        <w:rPr>
          <w:rFonts w:ascii="Times New Roman" w:eastAsia="Times New Roman" w:hAnsi="Times New Roman"/>
          <w:lang w:val="en-CA"/>
        </w:rPr>
        <w:t xml:space="preserve">, marking the Tribunal’s first decision on </w:t>
      </w:r>
      <w:r w:rsidR="005A0DBC">
        <w:rPr>
          <w:rFonts w:ascii="Times New Roman" w:eastAsia="Times New Roman" w:hAnsi="Times New Roman"/>
          <w:lang w:val="en-CA"/>
        </w:rPr>
        <w:t>compensation. The case concerns</w:t>
      </w:r>
      <w:r>
        <w:rPr>
          <w:rFonts w:ascii="Times New Roman" w:eastAsia="Times New Roman" w:hAnsi="Times New Roman"/>
          <w:lang w:val="en-CA"/>
        </w:rPr>
        <w:t xml:space="preserve"> </w:t>
      </w:r>
      <w:r w:rsidRPr="009841F5">
        <w:rPr>
          <w:rFonts w:ascii="Times New Roman" w:eastAsia="Times New Roman" w:hAnsi="Times New Roman"/>
          <w:lang w:val="en-CA"/>
        </w:rPr>
        <w:t>Canada’s issuance of long-term log</w:t>
      </w:r>
      <w:r>
        <w:rPr>
          <w:rFonts w:ascii="Times New Roman" w:eastAsia="Times New Roman" w:hAnsi="Times New Roman"/>
          <w:lang w:val="en-CA"/>
        </w:rPr>
        <w:t>ging license on HFN</w:t>
      </w:r>
      <w:r w:rsidRPr="009841F5">
        <w:rPr>
          <w:rFonts w:ascii="Times New Roman" w:eastAsia="Times New Roman" w:hAnsi="Times New Roman"/>
          <w:lang w:val="en-CA"/>
        </w:rPr>
        <w:t xml:space="preserve">’s reserve lands. </w:t>
      </w:r>
    </w:p>
    <w:p w14:paraId="37A4C945" w14:textId="77777777" w:rsidR="0022073E" w:rsidRDefault="0022073E" w:rsidP="0022073E">
      <w:pPr>
        <w:spacing w:line="276" w:lineRule="auto"/>
        <w:rPr>
          <w:rFonts w:ascii="Times New Roman" w:eastAsia="Times New Roman" w:hAnsi="Times New Roman"/>
          <w:lang w:val="en-CA"/>
        </w:rPr>
      </w:pPr>
    </w:p>
    <w:p w14:paraId="47CA353B" w14:textId="77777777" w:rsidR="0022073E" w:rsidRPr="003D4294" w:rsidRDefault="0022073E" w:rsidP="0022073E">
      <w:pPr>
        <w:spacing w:line="276" w:lineRule="auto"/>
        <w:rPr>
          <w:rFonts w:ascii="Times New Roman" w:eastAsia="Times New Roman" w:hAnsi="Times New Roman"/>
          <w:b/>
          <w:lang w:val="en-CA"/>
        </w:rPr>
      </w:pPr>
      <w:r w:rsidRPr="003D4294">
        <w:rPr>
          <w:rFonts w:ascii="Times New Roman" w:eastAsia="Times New Roman" w:hAnsi="Times New Roman"/>
          <w:b/>
          <w:lang w:val="en-CA"/>
        </w:rPr>
        <w:t>Background</w:t>
      </w:r>
    </w:p>
    <w:p w14:paraId="3368F81E" w14:textId="77777777" w:rsidR="0022073E" w:rsidRDefault="0022073E" w:rsidP="0022073E">
      <w:pPr>
        <w:spacing w:line="276" w:lineRule="auto"/>
        <w:rPr>
          <w:rFonts w:ascii="Times New Roman" w:eastAsia="Times New Roman" w:hAnsi="Times New Roman"/>
          <w:lang w:val="en-CA"/>
        </w:rPr>
      </w:pPr>
    </w:p>
    <w:p w14:paraId="5D036F03" w14:textId="77777777" w:rsidR="0022073E" w:rsidRPr="00046454" w:rsidRDefault="0022073E" w:rsidP="0022073E">
      <w:pPr>
        <w:spacing w:line="276" w:lineRule="auto"/>
        <w:rPr>
          <w:rFonts w:ascii="Times New Roman" w:eastAsia="Times New Roman" w:hAnsi="Times New Roman"/>
          <w:lang w:val="en-CA"/>
        </w:rPr>
      </w:pPr>
      <w:r>
        <w:rPr>
          <w:rFonts w:ascii="Times New Roman" w:eastAsia="Times New Roman" w:hAnsi="Times New Roman"/>
          <w:lang w:val="en-CA"/>
        </w:rPr>
        <w:t xml:space="preserve">The decision </w:t>
      </w:r>
      <w:r w:rsidRPr="009841F5">
        <w:rPr>
          <w:rFonts w:ascii="Times New Roman" w:eastAsia="Times New Roman" w:hAnsi="Times New Roman"/>
          <w:lang w:val="en-CA"/>
        </w:rPr>
        <w:t xml:space="preserve">follows the Tribunal’s finding in December 2014 </w:t>
      </w:r>
      <w:r w:rsidRPr="002A7A78">
        <w:rPr>
          <w:rFonts w:ascii="Times New Roman" w:eastAsia="Times New Roman" w:hAnsi="Times New Roman"/>
          <w:lang w:val="en-CA"/>
        </w:rPr>
        <w:t>that Canada had breached its fiduciary duties with res</w:t>
      </w:r>
      <w:r>
        <w:rPr>
          <w:rFonts w:ascii="Times New Roman" w:eastAsia="Times New Roman" w:hAnsi="Times New Roman"/>
          <w:lang w:val="en-CA"/>
        </w:rPr>
        <w:t>pect to the sale of timber surrendered by HFN in 1938 to the federal Crown</w:t>
      </w:r>
      <w:r w:rsidRPr="002A7A78">
        <w:rPr>
          <w:rFonts w:ascii="Times New Roman" w:eastAsia="Times New Roman" w:hAnsi="Times New Roman"/>
          <w:lang w:val="en-CA"/>
        </w:rPr>
        <w:t>.</w:t>
      </w:r>
      <w:r w:rsidRPr="002A7A78">
        <w:rPr>
          <w:rStyle w:val="FootnoteReference"/>
          <w:rFonts w:ascii="Times New Roman" w:eastAsia="Times New Roman" w:hAnsi="Times New Roman"/>
          <w:lang w:val="en-CA"/>
        </w:rPr>
        <w:footnoteReference w:id="1"/>
      </w:r>
      <w:r>
        <w:rPr>
          <w:rFonts w:ascii="Times New Roman" w:eastAsia="Times New Roman" w:hAnsi="Times New Roman"/>
          <w:lang w:val="en-CA"/>
        </w:rPr>
        <w:t xml:space="preserve"> In the years following, the Crown failed to sell the timber according to the conditions of surrender, costing HFN years’ worth of timber revenues. </w:t>
      </w:r>
      <w:r>
        <w:rPr>
          <w:rFonts w:ascii="Times" w:eastAsia="Times New Roman" w:hAnsi="Times"/>
          <w:lang w:val="en-CA"/>
        </w:rPr>
        <w:t>Although the Parties</w:t>
      </w:r>
      <w:r w:rsidRPr="00300D37">
        <w:rPr>
          <w:rFonts w:ascii="Times" w:eastAsia="Times New Roman" w:hAnsi="Times"/>
          <w:lang w:val="en-CA"/>
        </w:rPr>
        <w:t xml:space="preserve"> agreed on the historical dollar amounts of fo</w:t>
      </w:r>
      <w:r>
        <w:rPr>
          <w:rFonts w:ascii="Times" w:eastAsia="Times New Roman" w:hAnsi="Times"/>
          <w:lang w:val="en-CA"/>
        </w:rPr>
        <w:t xml:space="preserve">regone timber revenues that were owed to HFN, they disagreed on the amount of compensation owed to HFN. </w:t>
      </w:r>
    </w:p>
    <w:p w14:paraId="67C6B74E" w14:textId="77777777" w:rsidR="0022073E" w:rsidRDefault="0022073E" w:rsidP="0022073E">
      <w:pPr>
        <w:spacing w:line="276" w:lineRule="auto"/>
        <w:rPr>
          <w:rFonts w:ascii="Helvetica" w:eastAsia="Times New Roman" w:hAnsi="Helvetica"/>
          <w:color w:val="333333"/>
          <w:shd w:val="clear" w:color="auto" w:fill="FFFFFF"/>
          <w:lang w:val="en-CA"/>
        </w:rPr>
      </w:pPr>
    </w:p>
    <w:p w14:paraId="4D7316C8" w14:textId="77777777" w:rsidR="0022073E" w:rsidRPr="00352D3A" w:rsidRDefault="0022073E" w:rsidP="0022073E">
      <w:pPr>
        <w:spacing w:line="276" w:lineRule="auto"/>
        <w:rPr>
          <w:rFonts w:ascii="Times New Roman" w:eastAsia="Times New Roman" w:hAnsi="Times New Roman"/>
          <w:b/>
          <w:color w:val="333333"/>
          <w:shd w:val="clear" w:color="auto" w:fill="FFFFFF"/>
          <w:lang w:val="en-CA"/>
        </w:rPr>
      </w:pPr>
      <w:r>
        <w:rPr>
          <w:rFonts w:ascii="Times New Roman" w:eastAsia="Times New Roman" w:hAnsi="Times New Roman"/>
          <w:b/>
          <w:color w:val="333333"/>
          <w:shd w:val="clear" w:color="auto" w:fill="FFFFFF"/>
          <w:lang w:val="en-CA"/>
        </w:rPr>
        <w:t>Issue</w:t>
      </w:r>
    </w:p>
    <w:p w14:paraId="533DE2A1" w14:textId="77777777" w:rsidR="0022073E" w:rsidRPr="00297236" w:rsidRDefault="0022073E" w:rsidP="0022073E">
      <w:pPr>
        <w:spacing w:line="276" w:lineRule="auto"/>
        <w:rPr>
          <w:rFonts w:ascii="Helvetica" w:eastAsia="Times New Roman" w:hAnsi="Helvetica"/>
          <w:color w:val="333333"/>
          <w:shd w:val="clear" w:color="auto" w:fill="FFFFFF"/>
          <w:lang w:val="en-CA"/>
        </w:rPr>
      </w:pPr>
    </w:p>
    <w:p w14:paraId="082C0A84" w14:textId="77777777" w:rsidR="0022073E" w:rsidRDefault="0022073E" w:rsidP="0022073E">
      <w:pPr>
        <w:spacing w:line="276" w:lineRule="auto"/>
        <w:rPr>
          <w:rFonts w:ascii="Times New Roman" w:hAnsi="Times New Roman"/>
        </w:rPr>
      </w:pPr>
      <w:r>
        <w:rPr>
          <w:rFonts w:ascii="Times New Roman" w:eastAsia="Times New Roman" w:hAnsi="Times New Roman"/>
          <w:color w:val="333333"/>
          <w:shd w:val="clear" w:color="auto" w:fill="FFFFFF"/>
          <w:lang w:val="en-CA"/>
        </w:rPr>
        <w:t>At issue</w:t>
      </w:r>
      <w:r w:rsidRPr="00297236">
        <w:rPr>
          <w:rFonts w:ascii="Times New Roman" w:eastAsia="Times New Roman" w:hAnsi="Times New Roman"/>
          <w:color w:val="333333"/>
          <w:shd w:val="clear" w:color="auto" w:fill="FFFFFF"/>
          <w:lang w:val="en-CA"/>
        </w:rPr>
        <w:t xml:space="preserve"> before the Tribunal was </w:t>
      </w:r>
      <w:r w:rsidRPr="00297236">
        <w:rPr>
          <w:rFonts w:ascii="Times New Roman" w:hAnsi="Times New Roman"/>
        </w:rPr>
        <w:t>whether</w:t>
      </w:r>
      <w:r>
        <w:rPr>
          <w:rFonts w:ascii="Times New Roman" w:hAnsi="Times New Roman"/>
        </w:rPr>
        <w:t xml:space="preserve"> the remedy of equitable compensation entitled HFN to</w:t>
      </w:r>
      <w:r w:rsidRPr="00297236">
        <w:rPr>
          <w:rFonts w:ascii="Times New Roman" w:hAnsi="Times New Roman"/>
        </w:rPr>
        <w:t xml:space="preserve"> compensation for foregone revenues </w:t>
      </w:r>
      <w:r>
        <w:rPr>
          <w:rFonts w:ascii="Times New Roman" w:hAnsi="Times New Roman"/>
        </w:rPr>
        <w:t>that HFN would have spent on consumption</w:t>
      </w:r>
      <w:r w:rsidRPr="00297236">
        <w:rPr>
          <w:rFonts w:ascii="Times New Roman" w:hAnsi="Times New Roman"/>
        </w:rPr>
        <w:t>.</w:t>
      </w:r>
      <w:r w:rsidRPr="00297236">
        <w:rPr>
          <w:rStyle w:val="FootnoteReference"/>
          <w:rFonts w:ascii="Times New Roman" w:hAnsi="Times New Roman"/>
        </w:rPr>
        <w:footnoteReference w:id="2"/>
      </w:r>
      <w:r w:rsidRPr="00297236">
        <w:rPr>
          <w:rFonts w:ascii="Times New Roman" w:hAnsi="Times New Roman"/>
        </w:rPr>
        <w:t xml:space="preserve"> </w:t>
      </w:r>
      <w:r>
        <w:rPr>
          <w:rFonts w:ascii="Times New Roman" w:hAnsi="Times New Roman"/>
        </w:rPr>
        <w:t>The issue significantly impacted HFN’s compensation sum as the First Nation would have spent an estimated 85% of timber revenues on consumption due to pervasive poverty in the community. Experts on both sides presented unique compensation models to estimate the present day value of HFN’s loss.</w:t>
      </w:r>
    </w:p>
    <w:p w14:paraId="1C9C1D22" w14:textId="77777777" w:rsidR="0022073E" w:rsidRDefault="0022073E" w:rsidP="0022073E">
      <w:pPr>
        <w:spacing w:line="276" w:lineRule="auto"/>
        <w:rPr>
          <w:rFonts w:ascii="Times New Roman" w:hAnsi="Times New Roman"/>
        </w:rPr>
      </w:pPr>
    </w:p>
    <w:p w14:paraId="2C165727" w14:textId="77777777" w:rsidR="0022073E" w:rsidRPr="00297236" w:rsidRDefault="0022073E" w:rsidP="0022073E">
      <w:pPr>
        <w:rPr>
          <w:rFonts w:ascii="Times New Roman" w:hAnsi="Times New Roman"/>
          <w:b/>
        </w:rPr>
      </w:pPr>
      <w:r w:rsidRPr="00297236">
        <w:rPr>
          <w:rFonts w:ascii="Times New Roman" w:hAnsi="Times New Roman"/>
          <w:b/>
        </w:rPr>
        <w:t>Canada’s Position</w:t>
      </w:r>
    </w:p>
    <w:p w14:paraId="701A36AD" w14:textId="77777777" w:rsidR="0022073E" w:rsidRDefault="0022073E" w:rsidP="0022073E">
      <w:pPr>
        <w:rPr>
          <w:rFonts w:ascii="Times New Roman" w:hAnsi="Times New Roman"/>
        </w:rPr>
      </w:pPr>
    </w:p>
    <w:p w14:paraId="38B07DF0" w14:textId="77777777" w:rsidR="0022073E" w:rsidRPr="001371BB" w:rsidRDefault="0022073E" w:rsidP="0022073E">
      <w:pPr>
        <w:spacing w:line="276" w:lineRule="auto"/>
        <w:rPr>
          <w:rFonts w:ascii="Times New Roman" w:eastAsia="Times New Roman" w:hAnsi="Times New Roman"/>
          <w:lang w:val="en-CA"/>
        </w:rPr>
      </w:pPr>
      <w:r w:rsidRPr="001371BB">
        <w:rPr>
          <w:rFonts w:ascii="Times New Roman" w:hAnsi="Times New Roman"/>
        </w:rPr>
        <w:t xml:space="preserve">Canada </w:t>
      </w:r>
      <w:r>
        <w:rPr>
          <w:rFonts w:ascii="Times New Roman" w:hAnsi="Times New Roman"/>
        </w:rPr>
        <w:t xml:space="preserve">and its expert </w:t>
      </w:r>
      <w:r w:rsidRPr="001371BB">
        <w:rPr>
          <w:rFonts w:ascii="Times New Roman" w:hAnsi="Times New Roman"/>
        </w:rPr>
        <w:t xml:space="preserve">argued that </w:t>
      </w:r>
      <w:r>
        <w:rPr>
          <w:rFonts w:ascii="Times New Roman" w:hAnsi="Times New Roman"/>
        </w:rPr>
        <w:t xml:space="preserve">consumption could not form a part of equitable compensation </w:t>
      </w:r>
      <w:r w:rsidRPr="001371BB">
        <w:rPr>
          <w:rFonts w:ascii="Times New Roman" w:hAnsi="Times New Roman"/>
        </w:rPr>
        <w:t xml:space="preserve">because </w:t>
      </w:r>
      <w:r>
        <w:rPr>
          <w:rFonts w:ascii="Times New Roman" w:hAnsi="Times New Roman"/>
        </w:rPr>
        <w:t xml:space="preserve">consumption </w:t>
      </w:r>
      <w:r w:rsidRPr="001371BB">
        <w:rPr>
          <w:rFonts w:ascii="Times New Roman" w:hAnsi="Times New Roman"/>
        </w:rPr>
        <w:t>yielded only short-term benefits</w:t>
      </w:r>
      <w:r>
        <w:rPr>
          <w:rFonts w:ascii="Times New Roman" w:hAnsi="Times New Roman"/>
        </w:rPr>
        <w:t>. This did not comply with the purpose of equitable compensation</w:t>
      </w:r>
      <w:r w:rsidRPr="001371BB">
        <w:rPr>
          <w:rFonts w:ascii="Times New Roman" w:hAnsi="Times New Roman"/>
        </w:rPr>
        <w:t xml:space="preserve"> to </w:t>
      </w:r>
      <w:r>
        <w:rPr>
          <w:rFonts w:ascii="Times New Roman" w:hAnsi="Times New Roman"/>
        </w:rPr>
        <w:t>restore HFN to the</w:t>
      </w:r>
      <w:r w:rsidRPr="001371BB">
        <w:rPr>
          <w:rFonts w:ascii="Times New Roman" w:hAnsi="Times New Roman"/>
        </w:rPr>
        <w:t xml:space="preserve"> position it would </w:t>
      </w:r>
      <w:r>
        <w:rPr>
          <w:rFonts w:ascii="Times New Roman" w:hAnsi="Times New Roman"/>
        </w:rPr>
        <w:t>have been in absent the breach</w:t>
      </w:r>
      <w:r w:rsidRPr="001371BB">
        <w:rPr>
          <w:rFonts w:ascii="Times New Roman" w:hAnsi="Times New Roman"/>
        </w:rPr>
        <w:t>.</w:t>
      </w:r>
      <w:r w:rsidRPr="001371BB">
        <w:rPr>
          <w:rStyle w:val="FootnoteReference"/>
          <w:rFonts w:ascii="Times New Roman" w:hAnsi="Times New Roman"/>
        </w:rPr>
        <w:footnoteReference w:id="3"/>
      </w:r>
      <w:r w:rsidRPr="001371BB">
        <w:rPr>
          <w:rFonts w:ascii="Times New Roman" w:hAnsi="Times New Roman"/>
        </w:rPr>
        <w:t xml:space="preserve"> </w:t>
      </w:r>
      <w:r>
        <w:rPr>
          <w:rFonts w:ascii="Times New Roman" w:hAnsi="Times New Roman"/>
        </w:rPr>
        <w:lastRenderedPageBreak/>
        <w:t xml:space="preserve">Canada claimed that </w:t>
      </w:r>
      <w:r>
        <w:rPr>
          <w:rFonts w:ascii="Times New Roman" w:eastAsia="Times New Roman" w:hAnsi="Times New Roman"/>
          <w:lang w:val="en-CA"/>
        </w:rPr>
        <w:t>c</w:t>
      </w:r>
      <w:r w:rsidRPr="001371BB">
        <w:rPr>
          <w:rFonts w:ascii="Times New Roman" w:eastAsia="Times New Roman" w:hAnsi="Times New Roman"/>
          <w:lang w:val="en-CA"/>
        </w:rPr>
        <w:t>ompensable spending should be limited to investments that would generate future value</w:t>
      </w:r>
      <w:r>
        <w:rPr>
          <w:rFonts w:ascii="Times New Roman" w:eastAsia="Times New Roman" w:hAnsi="Times New Roman"/>
          <w:lang w:val="en-CA"/>
        </w:rPr>
        <w:t xml:space="preserve"> that would be available to HFN in the present day</w:t>
      </w:r>
      <w:r w:rsidRPr="001371BB">
        <w:rPr>
          <w:rFonts w:ascii="Times New Roman" w:eastAsia="Times New Roman" w:hAnsi="Times New Roman"/>
          <w:lang w:val="en-CA"/>
        </w:rPr>
        <w:t>.</w:t>
      </w:r>
      <w:r w:rsidRPr="001371BB">
        <w:rPr>
          <w:rStyle w:val="FootnoteReference"/>
          <w:rFonts w:ascii="Times New Roman" w:eastAsia="Times New Roman" w:hAnsi="Times New Roman"/>
          <w:lang w:val="en-CA"/>
        </w:rPr>
        <w:footnoteReference w:id="4"/>
      </w:r>
      <w:r w:rsidRPr="001371BB">
        <w:rPr>
          <w:rFonts w:ascii="Times New Roman" w:eastAsia="Times New Roman" w:hAnsi="Times New Roman"/>
          <w:sz w:val="22"/>
          <w:szCs w:val="22"/>
          <w:lang w:val="en-CA"/>
        </w:rPr>
        <w:t xml:space="preserve"> </w:t>
      </w:r>
    </w:p>
    <w:p w14:paraId="65DC3A06" w14:textId="77777777" w:rsidR="0022073E" w:rsidRDefault="0022073E" w:rsidP="0022073E">
      <w:pPr>
        <w:rPr>
          <w:rFonts w:ascii="Times New Roman" w:eastAsia="Times New Roman" w:hAnsi="Times New Roman"/>
          <w:lang w:val="en-CA"/>
        </w:rPr>
      </w:pPr>
    </w:p>
    <w:p w14:paraId="4CAAF037" w14:textId="77777777" w:rsidR="0022073E" w:rsidRDefault="0022073E" w:rsidP="0022073E">
      <w:pPr>
        <w:spacing w:line="276" w:lineRule="auto"/>
        <w:rPr>
          <w:rFonts w:ascii="Times New Roman" w:hAnsi="Times New Roman"/>
        </w:rPr>
      </w:pPr>
      <w:r>
        <w:rPr>
          <w:rFonts w:ascii="Times New Roman" w:eastAsia="Times New Roman" w:hAnsi="Times New Roman"/>
          <w:lang w:val="en-CA"/>
        </w:rPr>
        <w:t xml:space="preserve">Canada relied on </w:t>
      </w:r>
      <w:r w:rsidRPr="002E7211">
        <w:rPr>
          <w:rFonts w:ascii="Times New Roman" w:eastAsia="Times New Roman" w:hAnsi="Times New Roman"/>
          <w:i/>
          <w:lang w:val="en-CA"/>
        </w:rPr>
        <w:t>Whitefish</w:t>
      </w:r>
      <w:r>
        <w:rPr>
          <w:rFonts w:ascii="Times New Roman" w:eastAsia="Times New Roman" w:hAnsi="Times New Roman"/>
          <w:i/>
          <w:lang w:val="en-CA"/>
        </w:rPr>
        <w:t xml:space="preserve"> Lake Band of Indians v. Canada</w:t>
      </w:r>
      <w:r>
        <w:rPr>
          <w:rFonts w:ascii="Times New Roman" w:eastAsia="Times New Roman" w:hAnsi="Times New Roman"/>
          <w:lang w:val="en-CA"/>
        </w:rPr>
        <w:t xml:space="preserve"> as a blueprint for assessing equitable compensation.</w:t>
      </w:r>
      <w:r w:rsidRPr="00FB159E">
        <w:rPr>
          <w:rStyle w:val="FootnoteReference"/>
          <w:rFonts w:ascii="Times New Roman" w:eastAsia="Times New Roman" w:hAnsi="Times New Roman"/>
          <w:lang w:val="en-CA"/>
        </w:rPr>
        <w:footnoteReference w:id="5"/>
      </w:r>
      <w:r>
        <w:rPr>
          <w:rFonts w:ascii="Times New Roman" w:eastAsia="Times New Roman" w:hAnsi="Times New Roman"/>
          <w:lang w:val="en-CA"/>
        </w:rPr>
        <w:t xml:space="preserve"> Canada argued that HFN’s spending history was a “realistic contingency” that restricted compensation for </w:t>
      </w:r>
      <w:r w:rsidRPr="00141D6C">
        <w:rPr>
          <w:rFonts w:ascii="Times New Roman" w:eastAsia="Times New Roman" w:hAnsi="Times New Roman"/>
          <w:lang w:val="en-CA"/>
        </w:rPr>
        <w:t xml:space="preserve">revenues spent on </w:t>
      </w:r>
      <w:r w:rsidRPr="00513A66">
        <w:rPr>
          <w:rFonts w:ascii="Times New Roman" w:eastAsia="Times New Roman" w:hAnsi="Times New Roman"/>
          <w:lang w:val="en-CA"/>
        </w:rPr>
        <w:t>consu</w:t>
      </w:r>
      <w:r>
        <w:rPr>
          <w:rFonts w:ascii="Times New Roman" w:eastAsia="Times New Roman" w:hAnsi="Times New Roman"/>
          <w:lang w:val="en-CA"/>
        </w:rPr>
        <w:t>mption</w:t>
      </w:r>
      <w:r w:rsidRPr="00513A66">
        <w:rPr>
          <w:rFonts w:ascii="Times New Roman" w:eastAsia="Times New Roman" w:hAnsi="Times New Roman"/>
          <w:lang w:val="en-CA"/>
        </w:rPr>
        <w:t>.</w:t>
      </w:r>
      <w:r w:rsidRPr="00513A66">
        <w:rPr>
          <w:rStyle w:val="FootnoteReference"/>
          <w:rFonts w:ascii="Times New Roman" w:hAnsi="Times New Roman"/>
        </w:rPr>
        <w:footnoteReference w:id="6"/>
      </w:r>
    </w:p>
    <w:p w14:paraId="54CE475E" w14:textId="77777777" w:rsidR="0022073E" w:rsidRDefault="0022073E" w:rsidP="0022073E">
      <w:pPr>
        <w:rPr>
          <w:rFonts w:ascii="Times New Roman" w:eastAsia="Times New Roman" w:hAnsi="Times New Roman"/>
          <w:lang w:val="en-CA"/>
        </w:rPr>
      </w:pPr>
    </w:p>
    <w:p w14:paraId="0894D5BE" w14:textId="77777777" w:rsidR="0022073E" w:rsidRDefault="0022073E" w:rsidP="0022073E">
      <w:pPr>
        <w:rPr>
          <w:rFonts w:ascii="Times New Roman" w:hAnsi="Times New Roman"/>
        </w:rPr>
      </w:pPr>
      <w:r>
        <w:rPr>
          <w:rFonts w:ascii="Times New Roman" w:hAnsi="Times New Roman"/>
        </w:rPr>
        <w:t xml:space="preserve">Canada took issue with HFN’s aggregation of individual preferences to characterize group behavior, claiming </w:t>
      </w:r>
      <w:r w:rsidRPr="009A7600">
        <w:rPr>
          <w:rFonts w:ascii="Times New Roman" w:eastAsia="Times New Roman" w:hAnsi="Times New Roman"/>
          <w:lang w:val="en-CA"/>
        </w:rPr>
        <w:t xml:space="preserve">that </w:t>
      </w:r>
      <w:r w:rsidRPr="009A7600">
        <w:rPr>
          <w:rFonts w:ascii="Times New Roman" w:hAnsi="Times New Roman"/>
        </w:rPr>
        <w:t xml:space="preserve">only the losses of the HFN as a </w:t>
      </w:r>
      <w:r w:rsidRPr="009A7600">
        <w:rPr>
          <w:rFonts w:ascii="Times" w:hAnsi="Times" w:cs="Times"/>
          <w:i/>
          <w:iCs/>
        </w:rPr>
        <w:t>collective</w:t>
      </w:r>
      <w:r>
        <w:rPr>
          <w:rFonts w:ascii="Times" w:hAnsi="Times" w:cs="Times"/>
          <w:iCs/>
        </w:rPr>
        <w:t>, and not those of individual band members,</w:t>
      </w:r>
      <w:r w:rsidRPr="009A7600">
        <w:rPr>
          <w:rFonts w:ascii="Times" w:hAnsi="Times" w:cs="Times"/>
          <w:i/>
          <w:iCs/>
        </w:rPr>
        <w:t xml:space="preserve"> </w:t>
      </w:r>
      <w:r>
        <w:rPr>
          <w:rFonts w:ascii="Times New Roman" w:hAnsi="Times New Roman"/>
        </w:rPr>
        <w:t>were compensable.</w:t>
      </w:r>
      <w:r>
        <w:rPr>
          <w:rStyle w:val="FootnoteReference"/>
          <w:rFonts w:ascii="Times New Roman" w:hAnsi="Times New Roman"/>
        </w:rPr>
        <w:footnoteReference w:id="7"/>
      </w:r>
      <w:r>
        <w:rPr>
          <w:rFonts w:ascii="Times New Roman" w:hAnsi="Times New Roman"/>
        </w:rPr>
        <w:t xml:space="preserve"> </w:t>
      </w:r>
    </w:p>
    <w:p w14:paraId="50D87F69" w14:textId="77777777" w:rsidR="0022073E" w:rsidRPr="00297236" w:rsidRDefault="0022073E" w:rsidP="0022073E">
      <w:pPr>
        <w:spacing w:line="276" w:lineRule="auto"/>
        <w:rPr>
          <w:rFonts w:ascii="Times New Roman" w:hAnsi="Times New Roman"/>
        </w:rPr>
      </w:pPr>
    </w:p>
    <w:p w14:paraId="1C9CD17D" w14:textId="77777777" w:rsidR="0022073E" w:rsidRPr="00297236" w:rsidRDefault="0022073E" w:rsidP="0022073E">
      <w:pPr>
        <w:spacing w:line="276" w:lineRule="auto"/>
        <w:rPr>
          <w:rFonts w:ascii="Times New Roman" w:hAnsi="Times New Roman"/>
          <w:b/>
        </w:rPr>
      </w:pPr>
      <w:r w:rsidRPr="00297236">
        <w:rPr>
          <w:rFonts w:ascii="Times New Roman" w:hAnsi="Times New Roman"/>
          <w:b/>
        </w:rPr>
        <w:t>HFN’s Position</w:t>
      </w:r>
    </w:p>
    <w:p w14:paraId="471D62EE" w14:textId="77777777" w:rsidR="0022073E" w:rsidRDefault="0022073E" w:rsidP="0022073E">
      <w:pPr>
        <w:spacing w:line="276" w:lineRule="auto"/>
        <w:rPr>
          <w:rFonts w:ascii="Times New Roman" w:hAnsi="Times New Roman"/>
        </w:rPr>
      </w:pPr>
    </w:p>
    <w:p w14:paraId="4D6918FB" w14:textId="77777777" w:rsidR="0022073E" w:rsidRDefault="0022073E" w:rsidP="0022073E">
      <w:pPr>
        <w:spacing w:line="276" w:lineRule="auto"/>
        <w:rPr>
          <w:rFonts w:ascii="Times" w:eastAsia="Times New Roman" w:hAnsi="Times"/>
          <w:lang w:val="en-CA"/>
        </w:rPr>
      </w:pPr>
      <w:r w:rsidRPr="00297236">
        <w:rPr>
          <w:rFonts w:ascii="Times" w:eastAsia="Times New Roman" w:hAnsi="Times"/>
          <w:lang w:val="en-CA"/>
        </w:rPr>
        <w:t>HFN</w:t>
      </w:r>
      <w:r>
        <w:rPr>
          <w:rFonts w:ascii="Times" w:eastAsia="Times New Roman" w:hAnsi="Times"/>
          <w:lang w:val="en-CA"/>
        </w:rPr>
        <w:t xml:space="preserve"> and its expert argued that HFN was</w:t>
      </w:r>
      <w:r w:rsidRPr="00297236">
        <w:rPr>
          <w:rFonts w:ascii="Times" w:eastAsia="Times New Roman" w:hAnsi="Times"/>
          <w:lang w:val="en-CA"/>
        </w:rPr>
        <w:t xml:space="preserve"> entitled to </w:t>
      </w:r>
      <w:r>
        <w:rPr>
          <w:rFonts w:ascii="Times" w:eastAsia="Times New Roman" w:hAnsi="Times"/>
          <w:lang w:val="en-CA"/>
        </w:rPr>
        <w:t>compensation for the First Nation’s lost opportunity</w:t>
      </w:r>
      <w:r w:rsidRPr="00297236">
        <w:rPr>
          <w:rFonts w:ascii="Times" w:eastAsia="Times New Roman" w:hAnsi="Times"/>
          <w:lang w:val="en-CA"/>
        </w:rPr>
        <w:t xml:space="preserve"> </w:t>
      </w:r>
      <w:r>
        <w:rPr>
          <w:rFonts w:ascii="Times" w:eastAsia="Times New Roman" w:hAnsi="Times"/>
          <w:lang w:val="en-CA"/>
        </w:rPr>
        <w:t>to consume</w:t>
      </w:r>
      <w:r w:rsidRPr="00297236">
        <w:rPr>
          <w:rFonts w:ascii="Times" w:eastAsia="Times New Roman" w:hAnsi="Times"/>
          <w:lang w:val="en-CA"/>
        </w:rPr>
        <w:t xml:space="preserve">. </w:t>
      </w:r>
      <w:r>
        <w:rPr>
          <w:rFonts w:ascii="Times" w:eastAsia="Times New Roman" w:hAnsi="Times"/>
          <w:lang w:val="en-CA"/>
        </w:rPr>
        <w:t>HFN pointed out that although consumption yielded a short-term benefit, it could have had a significant impact on the welfare of the band.</w:t>
      </w:r>
      <w:r>
        <w:rPr>
          <w:rStyle w:val="FootnoteReference"/>
          <w:rFonts w:ascii="Times New Roman" w:hAnsi="Times New Roman"/>
        </w:rPr>
        <w:footnoteReference w:id="8"/>
      </w:r>
      <w:r>
        <w:rPr>
          <w:rFonts w:ascii="Times" w:eastAsia="Times New Roman" w:hAnsi="Times"/>
          <w:lang w:val="en-CA"/>
        </w:rPr>
        <w:t xml:space="preserve"> </w:t>
      </w:r>
    </w:p>
    <w:p w14:paraId="53F02AD3" w14:textId="77777777" w:rsidR="0022073E" w:rsidRPr="009F2A7C" w:rsidRDefault="0022073E" w:rsidP="0022073E">
      <w:pPr>
        <w:spacing w:line="276" w:lineRule="auto"/>
        <w:rPr>
          <w:rFonts w:ascii="Times" w:eastAsia="Times New Roman" w:hAnsi="Times"/>
          <w:lang w:val="en-CA"/>
        </w:rPr>
      </w:pPr>
    </w:p>
    <w:p w14:paraId="3FA7D218" w14:textId="77777777" w:rsidR="0022073E" w:rsidRPr="009F2A7C" w:rsidRDefault="0022073E" w:rsidP="0022073E">
      <w:pPr>
        <w:widowControl w:val="0"/>
        <w:autoSpaceDE w:val="0"/>
        <w:autoSpaceDN w:val="0"/>
        <w:adjustRightInd w:val="0"/>
        <w:spacing w:after="240" w:line="276" w:lineRule="auto"/>
        <w:rPr>
          <w:rFonts w:ascii="Times" w:hAnsi="Times" w:cs="Times"/>
        </w:rPr>
      </w:pPr>
      <w:r w:rsidRPr="009F2A7C">
        <w:rPr>
          <w:rFonts w:ascii="Times New Roman" w:hAnsi="Times New Roman"/>
        </w:rPr>
        <w:t xml:space="preserve">HFN disagreed with Canada’s interpretation of </w:t>
      </w:r>
      <w:r w:rsidRPr="009F2A7C">
        <w:rPr>
          <w:rFonts w:ascii="Times New Roman" w:hAnsi="Times New Roman"/>
          <w:i/>
        </w:rPr>
        <w:t>Whitefish</w:t>
      </w:r>
      <w:r>
        <w:rPr>
          <w:rFonts w:ascii="Times New Roman" w:hAnsi="Times New Roman"/>
        </w:rPr>
        <w:t>, claiming</w:t>
      </w:r>
      <w:r w:rsidRPr="009F2A7C">
        <w:rPr>
          <w:rFonts w:ascii="Times New Roman" w:hAnsi="Times New Roman"/>
        </w:rPr>
        <w:t xml:space="preserve"> that the question of compensation for lost oppo</w:t>
      </w:r>
      <w:r>
        <w:rPr>
          <w:rFonts w:ascii="Times New Roman" w:hAnsi="Times New Roman"/>
        </w:rPr>
        <w:t xml:space="preserve">rtunity to consume was not put before the Court in </w:t>
      </w:r>
      <w:r w:rsidRPr="001B6B37">
        <w:rPr>
          <w:rFonts w:ascii="Times New Roman" w:hAnsi="Times New Roman"/>
          <w:i/>
        </w:rPr>
        <w:t>Whitefish</w:t>
      </w:r>
      <w:r w:rsidRPr="009F2A7C">
        <w:rPr>
          <w:rFonts w:ascii="Times New Roman" w:hAnsi="Times New Roman"/>
        </w:rPr>
        <w:t>.</w:t>
      </w:r>
      <w:r w:rsidRPr="009F2A7C">
        <w:rPr>
          <w:rStyle w:val="FootnoteReference"/>
          <w:rFonts w:ascii="Times New Roman" w:hAnsi="Times New Roman"/>
        </w:rPr>
        <w:footnoteReference w:id="9"/>
      </w:r>
      <w:r w:rsidRPr="009F2A7C">
        <w:rPr>
          <w:rFonts w:ascii="Times New Roman" w:hAnsi="Times New Roman"/>
        </w:rPr>
        <w:t xml:space="preserve"> Further, no other case law limited equitable compensation to opportunities with only long-term benefit.</w:t>
      </w:r>
      <w:r w:rsidRPr="009F2A7C">
        <w:rPr>
          <w:rStyle w:val="FootnoteReference"/>
          <w:rFonts w:ascii="Times New Roman" w:hAnsi="Times New Roman"/>
        </w:rPr>
        <w:footnoteReference w:id="10"/>
      </w:r>
      <w:r>
        <w:rPr>
          <w:rFonts w:ascii="Times New Roman" w:hAnsi="Times New Roman"/>
        </w:rPr>
        <w:t xml:space="preserve"> </w:t>
      </w:r>
    </w:p>
    <w:p w14:paraId="2433BCB6" w14:textId="77777777" w:rsidR="0022073E" w:rsidRDefault="0022073E" w:rsidP="0022073E">
      <w:pPr>
        <w:spacing w:line="276" w:lineRule="auto"/>
        <w:rPr>
          <w:rFonts w:ascii="Times New Roman" w:hAnsi="Times New Roman"/>
        </w:rPr>
      </w:pPr>
      <w:r>
        <w:rPr>
          <w:rFonts w:ascii="Times New Roman" w:hAnsi="Times New Roman"/>
        </w:rPr>
        <w:t>In response to Canada’s contention with aggregating individual preferences, HFN pointed out that the First Nation</w:t>
      </w:r>
      <w:r w:rsidRPr="00947C53">
        <w:rPr>
          <w:rFonts w:ascii="Times New Roman" w:hAnsi="Times New Roman"/>
        </w:rPr>
        <w:t xml:space="preserve"> has no legal iden</w:t>
      </w:r>
      <w:r>
        <w:rPr>
          <w:rFonts w:ascii="Times New Roman" w:hAnsi="Times New Roman"/>
        </w:rPr>
        <w:t xml:space="preserve">tity distinct from its members and </w:t>
      </w:r>
      <w:r w:rsidRPr="00947C53">
        <w:rPr>
          <w:rFonts w:ascii="Times New Roman" w:hAnsi="Times New Roman"/>
        </w:rPr>
        <w:t>the losses of the HFN collective were innately connected to the losses of HFN’s membership.</w:t>
      </w:r>
      <w:r w:rsidRPr="00947C53">
        <w:rPr>
          <w:rStyle w:val="FootnoteReference"/>
          <w:rFonts w:ascii="Times New Roman" w:hAnsi="Times New Roman"/>
        </w:rPr>
        <w:t xml:space="preserve"> </w:t>
      </w:r>
      <w:r w:rsidRPr="00947C53">
        <w:rPr>
          <w:rStyle w:val="FootnoteReference"/>
          <w:rFonts w:ascii="Times New Roman" w:hAnsi="Times New Roman"/>
        </w:rPr>
        <w:footnoteReference w:id="11"/>
      </w:r>
      <w:r w:rsidRPr="00947C53">
        <w:rPr>
          <w:rStyle w:val="FootnoteReference"/>
          <w:rFonts w:ascii="Times New Roman" w:hAnsi="Times New Roman"/>
        </w:rPr>
        <w:t xml:space="preserve"> </w:t>
      </w:r>
    </w:p>
    <w:p w14:paraId="6FDB4B5C" w14:textId="77777777" w:rsidR="0022073E" w:rsidRDefault="0022073E" w:rsidP="0022073E">
      <w:pPr>
        <w:spacing w:line="276" w:lineRule="auto"/>
        <w:rPr>
          <w:rFonts w:ascii="Times New Roman" w:hAnsi="Times New Roman"/>
        </w:rPr>
      </w:pPr>
    </w:p>
    <w:p w14:paraId="4AE6FFEF" w14:textId="77777777" w:rsidR="0022073E" w:rsidRPr="000C514E" w:rsidRDefault="0022073E" w:rsidP="0022073E">
      <w:pPr>
        <w:spacing w:line="276" w:lineRule="auto"/>
        <w:rPr>
          <w:rFonts w:ascii="Times New Roman" w:hAnsi="Times New Roman"/>
        </w:rPr>
      </w:pPr>
      <w:r>
        <w:rPr>
          <w:rFonts w:ascii="Times New Roman" w:hAnsi="Times New Roman"/>
        </w:rPr>
        <w:t>HFN also emphasized evidence of the</w:t>
      </w:r>
      <w:r w:rsidRPr="00947C53">
        <w:rPr>
          <w:rFonts w:ascii="Times New Roman" w:hAnsi="Times New Roman"/>
        </w:rPr>
        <w:t xml:space="preserve"> band’s historically</w:t>
      </w:r>
      <w:r>
        <w:rPr>
          <w:rFonts w:ascii="Times New Roman" w:hAnsi="Times New Roman"/>
        </w:rPr>
        <w:t xml:space="preserve"> responsible spending patterns and the safeguards that would have likely ensured that HFN would have used revenues for the benefit of the band at the historical period in question. HFN further argued </w:t>
      </w:r>
      <w:r w:rsidRPr="000C514E">
        <w:rPr>
          <w:rFonts w:ascii="Times New Roman" w:hAnsi="Times New Roman"/>
        </w:rPr>
        <w:t>that</w:t>
      </w:r>
      <w:r>
        <w:rPr>
          <w:rFonts w:ascii="Times New Roman" w:hAnsi="Times New Roman"/>
        </w:rPr>
        <w:t>, in any case,</w:t>
      </w:r>
      <w:r w:rsidRPr="000C514E">
        <w:rPr>
          <w:rFonts w:ascii="Times New Roman" w:hAnsi="Times New Roman"/>
        </w:rPr>
        <w:t xml:space="preserve"> it was entitled </w:t>
      </w:r>
      <w:r w:rsidRPr="000C514E">
        <w:rPr>
          <w:rFonts w:ascii="Times New Roman" w:hAnsi="Times New Roman"/>
        </w:rPr>
        <w:lastRenderedPageBreak/>
        <w:t>to the presumption that it would have made the mos</w:t>
      </w:r>
      <w:r>
        <w:rPr>
          <w:rFonts w:ascii="Times New Roman" w:hAnsi="Times New Roman"/>
        </w:rPr>
        <w:t>t advantageous use of the funds in the absence of evidence to the contrary.</w:t>
      </w:r>
      <w:r>
        <w:rPr>
          <w:rStyle w:val="FootnoteReference"/>
          <w:rFonts w:ascii="Times New Roman" w:hAnsi="Times New Roman"/>
        </w:rPr>
        <w:footnoteReference w:id="12"/>
      </w:r>
    </w:p>
    <w:p w14:paraId="01F1FE9C" w14:textId="77777777" w:rsidR="0022073E" w:rsidRDefault="0022073E" w:rsidP="0022073E">
      <w:pPr>
        <w:spacing w:line="276" w:lineRule="auto"/>
        <w:rPr>
          <w:rFonts w:ascii="Times New Roman" w:hAnsi="Times New Roman"/>
        </w:rPr>
      </w:pPr>
      <w:r>
        <w:rPr>
          <w:rFonts w:ascii="Times New Roman" w:hAnsi="Times New Roman"/>
        </w:rPr>
        <w:t xml:space="preserve"> </w:t>
      </w:r>
    </w:p>
    <w:p w14:paraId="4E13570D" w14:textId="3BC14DEF" w:rsidR="0022073E" w:rsidRPr="0022073E" w:rsidRDefault="0022073E" w:rsidP="0022073E">
      <w:pPr>
        <w:spacing w:line="276" w:lineRule="auto"/>
        <w:rPr>
          <w:rFonts w:ascii="Times New Roman" w:hAnsi="Times New Roman"/>
        </w:rPr>
      </w:pPr>
      <w:r w:rsidRPr="00046454">
        <w:rPr>
          <w:rFonts w:ascii="Times New Roman" w:hAnsi="Times New Roman"/>
          <w:b/>
        </w:rPr>
        <w:t>Analysis</w:t>
      </w:r>
    </w:p>
    <w:p w14:paraId="21D572B9" w14:textId="77777777" w:rsidR="0022073E" w:rsidRDefault="0022073E" w:rsidP="0022073E">
      <w:pPr>
        <w:spacing w:line="276" w:lineRule="auto"/>
        <w:rPr>
          <w:rFonts w:ascii="Times New Roman" w:hAnsi="Times New Roman"/>
          <w:b/>
        </w:rPr>
      </w:pPr>
      <w:r>
        <w:rPr>
          <w:rFonts w:ascii="Times New Roman" w:hAnsi="Times New Roman"/>
        </w:rPr>
        <w:t>In considering both models, the Tribunal determined</w:t>
      </w:r>
      <w:r w:rsidRPr="00297236">
        <w:rPr>
          <w:rFonts w:ascii="Times New Roman" w:hAnsi="Times New Roman"/>
        </w:rPr>
        <w:t xml:space="preserve"> that</w:t>
      </w:r>
      <w:r>
        <w:rPr>
          <w:rFonts w:ascii="Times New Roman" w:hAnsi="Times New Roman"/>
        </w:rPr>
        <w:t xml:space="preserve"> equitable compensation</w:t>
      </w:r>
      <w:r w:rsidRPr="00310472">
        <w:rPr>
          <w:rFonts w:ascii="Times New Roman" w:hAnsi="Times New Roman"/>
        </w:rPr>
        <w:t xml:space="preserve"> </w:t>
      </w:r>
      <w:r>
        <w:rPr>
          <w:rFonts w:ascii="Times New Roman" w:hAnsi="Times New Roman"/>
        </w:rPr>
        <w:t>allowed for and, in this case, required</w:t>
      </w:r>
      <w:r w:rsidRPr="00310472">
        <w:rPr>
          <w:rFonts w:ascii="Times New Roman" w:hAnsi="Times New Roman"/>
        </w:rPr>
        <w:t xml:space="preserve"> compensation for </w:t>
      </w:r>
      <w:r>
        <w:rPr>
          <w:rFonts w:ascii="Times New Roman" w:hAnsi="Times New Roman"/>
        </w:rPr>
        <w:t xml:space="preserve">foregone </w:t>
      </w:r>
      <w:r w:rsidRPr="00310472">
        <w:rPr>
          <w:rFonts w:ascii="Times New Roman" w:hAnsi="Times New Roman"/>
        </w:rPr>
        <w:t>revenues</w:t>
      </w:r>
      <w:r>
        <w:rPr>
          <w:rFonts w:ascii="Times New Roman" w:hAnsi="Times New Roman"/>
        </w:rPr>
        <w:t xml:space="preserve"> that</w:t>
      </w:r>
      <w:r w:rsidRPr="00310472">
        <w:rPr>
          <w:rFonts w:ascii="Times New Roman" w:hAnsi="Times New Roman"/>
        </w:rPr>
        <w:t xml:space="preserve"> </w:t>
      </w:r>
      <w:r>
        <w:rPr>
          <w:rFonts w:ascii="Times New Roman" w:hAnsi="Times New Roman"/>
        </w:rPr>
        <w:t xml:space="preserve">HFN would have </w:t>
      </w:r>
      <w:r w:rsidRPr="00310472">
        <w:rPr>
          <w:rFonts w:ascii="Times New Roman" w:hAnsi="Times New Roman"/>
        </w:rPr>
        <w:t>spent on consumption</w:t>
      </w:r>
      <w:r>
        <w:rPr>
          <w:rFonts w:ascii="Times New Roman" w:hAnsi="Times New Roman"/>
        </w:rPr>
        <w:t xml:space="preserve"> for various reasons</w:t>
      </w:r>
      <w:r w:rsidRPr="00310472">
        <w:rPr>
          <w:rFonts w:ascii="Times New Roman" w:hAnsi="Times New Roman"/>
        </w:rPr>
        <w:t>.</w:t>
      </w:r>
    </w:p>
    <w:p w14:paraId="149EF75B" w14:textId="77777777" w:rsidR="0022073E" w:rsidRDefault="0022073E" w:rsidP="0022073E">
      <w:pPr>
        <w:rPr>
          <w:rFonts w:ascii="Times New Roman" w:hAnsi="Times New Roman"/>
          <w:b/>
        </w:rPr>
      </w:pPr>
    </w:p>
    <w:p w14:paraId="318410DC" w14:textId="77777777" w:rsidR="0022073E" w:rsidRPr="00AA7817" w:rsidRDefault="0022073E" w:rsidP="0022073E">
      <w:pPr>
        <w:spacing w:line="276" w:lineRule="auto"/>
        <w:rPr>
          <w:rFonts w:ascii="Times New Roman" w:hAnsi="Times New Roman"/>
          <w:i/>
        </w:rPr>
      </w:pPr>
      <w:r w:rsidRPr="00AA7817">
        <w:rPr>
          <w:rFonts w:ascii="Times New Roman" w:hAnsi="Times New Roman"/>
          <w:i/>
        </w:rPr>
        <w:t>Principles of Equitable Compensation</w:t>
      </w:r>
    </w:p>
    <w:p w14:paraId="3287A79B" w14:textId="77777777" w:rsidR="0022073E" w:rsidRDefault="0022073E" w:rsidP="0022073E">
      <w:pPr>
        <w:spacing w:line="276" w:lineRule="auto"/>
        <w:rPr>
          <w:rFonts w:ascii="Times New Roman" w:hAnsi="Times New Roman"/>
        </w:rPr>
      </w:pPr>
    </w:p>
    <w:p w14:paraId="1935BD6D" w14:textId="77777777" w:rsidR="0022073E" w:rsidRDefault="0022073E" w:rsidP="0022073E">
      <w:pPr>
        <w:spacing w:line="276" w:lineRule="auto"/>
        <w:rPr>
          <w:rFonts w:ascii="Times New Roman" w:eastAsia="Times New Roman" w:hAnsi="Times New Roman"/>
          <w:lang w:val="en-CA"/>
        </w:rPr>
      </w:pPr>
      <w:r>
        <w:rPr>
          <w:rFonts w:ascii="Times New Roman" w:hAnsi="Times New Roman"/>
        </w:rPr>
        <w:t>In its analysis, the Tribunal identified the main purpose of equitable compensation: to restore the plaintiff’s lost opportunity. Justice Whalen emphasized the flexible, discretionary and evidence-based nature of an equitable remedy.</w:t>
      </w:r>
      <w:r>
        <w:rPr>
          <w:rStyle w:val="FootnoteReference"/>
          <w:rFonts w:ascii="Times New Roman" w:hAnsi="Times New Roman"/>
        </w:rPr>
        <w:footnoteReference w:id="13"/>
      </w:r>
      <w:r>
        <w:rPr>
          <w:rFonts w:ascii="Times New Roman" w:hAnsi="Times New Roman"/>
        </w:rPr>
        <w:t xml:space="preserve"> </w:t>
      </w:r>
      <w:r>
        <w:rPr>
          <w:rFonts w:ascii="Times New Roman" w:eastAsia="Times New Roman" w:hAnsi="Times New Roman"/>
          <w:lang w:val="en-CA"/>
        </w:rPr>
        <w:t>This remedy entitles the wrong party</w:t>
      </w:r>
      <w:r w:rsidRPr="00046454">
        <w:rPr>
          <w:rFonts w:ascii="Times New Roman" w:eastAsia="Times New Roman" w:hAnsi="Times New Roman"/>
          <w:lang w:val="en-CA"/>
        </w:rPr>
        <w:t xml:space="preserve"> </w:t>
      </w:r>
      <w:r>
        <w:rPr>
          <w:rFonts w:ascii="Times New Roman" w:eastAsia="Times New Roman" w:hAnsi="Times New Roman"/>
          <w:lang w:val="en-CA"/>
        </w:rPr>
        <w:t>to</w:t>
      </w:r>
      <w:r w:rsidRPr="00046454">
        <w:rPr>
          <w:rFonts w:ascii="Times New Roman" w:eastAsia="Times New Roman" w:hAnsi="Times New Roman"/>
          <w:lang w:val="en-CA"/>
        </w:rPr>
        <w:t xml:space="preserve"> the equitable presumptions of most advantageous use and most favourable accounting</w:t>
      </w:r>
      <w:r>
        <w:rPr>
          <w:rFonts w:ascii="Times New Roman" w:eastAsia="Times New Roman" w:hAnsi="Times New Roman"/>
          <w:lang w:val="en-CA"/>
        </w:rPr>
        <w:t>.</w:t>
      </w:r>
      <w:r w:rsidRPr="00046454">
        <w:rPr>
          <w:rFonts w:ascii="Times New Roman" w:eastAsia="Times New Roman" w:hAnsi="Times New Roman"/>
          <w:lang w:val="en-CA"/>
        </w:rPr>
        <w:t xml:space="preserve"> </w:t>
      </w:r>
      <w:r>
        <w:rPr>
          <w:rFonts w:ascii="Times New Roman" w:eastAsia="Times New Roman" w:hAnsi="Times New Roman"/>
          <w:lang w:val="en-CA"/>
        </w:rPr>
        <w:t>Justice Whalen also reiterated the importance of Canada’s fiduciary duty to HFN in assessing an equitable remedy.</w:t>
      </w:r>
      <w:r>
        <w:rPr>
          <w:rStyle w:val="FootnoteReference"/>
          <w:rFonts w:ascii="Times New Roman" w:eastAsia="Times New Roman" w:hAnsi="Times New Roman"/>
          <w:lang w:val="en-CA"/>
        </w:rPr>
        <w:footnoteReference w:id="14"/>
      </w:r>
      <w:r>
        <w:rPr>
          <w:rFonts w:ascii="Times New Roman" w:eastAsia="Times New Roman" w:hAnsi="Times New Roman"/>
          <w:lang w:val="en-CA"/>
        </w:rPr>
        <w:t xml:space="preserve"> </w:t>
      </w:r>
    </w:p>
    <w:p w14:paraId="3DB0C974" w14:textId="77777777" w:rsidR="0022073E" w:rsidRDefault="0022073E" w:rsidP="0022073E">
      <w:pPr>
        <w:rPr>
          <w:rFonts w:ascii="Times New Roman" w:hAnsi="Times New Roman"/>
          <w:i/>
        </w:rPr>
      </w:pPr>
    </w:p>
    <w:p w14:paraId="422D2C3A" w14:textId="77777777" w:rsidR="0022073E" w:rsidRPr="00BF27C1" w:rsidRDefault="0022073E" w:rsidP="0022073E">
      <w:pPr>
        <w:rPr>
          <w:rFonts w:ascii="Times New Roman" w:hAnsi="Times New Roman"/>
          <w:i/>
        </w:rPr>
      </w:pPr>
      <w:r>
        <w:rPr>
          <w:rFonts w:ascii="Times New Roman" w:hAnsi="Times New Roman"/>
          <w:i/>
        </w:rPr>
        <w:t>The Whitefish d</w:t>
      </w:r>
      <w:r w:rsidRPr="00BF27C1">
        <w:rPr>
          <w:rFonts w:ascii="Times New Roman" w:hAnsi="Times New Roman"/>
          <w:i/>
        </w:rPr>
        <w:t>ecision</w:t>
      </w:r>
      <w:r>
        <w:rPr>
          <w:rFonts w:ascii="Times New Roman" w:hAnsi="Times New Roman"/>
          <w:i/>
        </w:rPr>
        <w:t xml:space="preserve"> does not restrict equitable compensation for consumption</w:t>
      </w:r>
    </w:p>
    <w:p w14:paraId="5A0672AD" w14:textId="77777777" w:rsidR="0022073E" w:rsidRDefault="0022073E" w:rsidP="0022073E">
      <w:pPr>
        <w:rPr>
          <w:rFonts w:ascii="Times New Roman" w:hAnsi="Times New Roman"/>
        </w:rPr>
      </w:pPr>
    </w:p>
    <w:p w14:paraId="446A4D3C" w14:textId="77777777" w:rsidR="0022073E" w:rsidRDefault="0022073E" w:rsidP="0022073E">
      <w:pPr>
        <w:spacing w:line="276" w:lineRule="auto"/>
        <w:rPr>
          <w:rFonts w:ascii="Times New Roman" w:hAnsi="Times New Roman"/>
        </w:rPr>
      </w:pPr>
      <w:r>
        <w:rPr>
          <w:rFonts w:ascii="Times New Roman" w:hAnsi="Times New Roman"/>
        </w:rPr>
        <w:t xml:space="preserve">The Tribunal disagreed with Canada’s conclusion that </w:t>
      </w:r>
      <w:r w:rsidRPr="00365CDA">
        <w:rPr>
          <w:rFonts w:ascii="Times New Roman" w:hAnsi="Times New Roman"/>
          <w:i/>
        </w:rPr>
        <w:t>Whitefish</w:t>
      </w:r>
      <w:r>
        <w:rPr>
          <w:rFonts w:ascii="Times New Roman" w:hAnsi="Times New Roman"/>
        </w:rPr>
        <w:t xml:space="preserve"> established a rule against equitable compensation for consumption.</w:t>
      </w:r>
      <w:r>
        <w:rPr>
          <w:rStyle w:val="FootnoteReference"/>
          <w:rFonts w:ascii="Times New Roman" w:hAnsi="Times New Roman"/>
        </w:rPr>
        <w:footnoteReference w:id="15"/>
      </w:r>
      <w:r>
        <w:rPr>
          <w:rFonts w:ascii="Times New Roman" w:hAnsi="Times New Roman"/>
        </w:rPr>
        <w:t xml:space="preserve"> In Justice Whalen’s view, Justice Laskin was primarily concerned with the insufficient evidence to support the trial judge’s conclusions. Justice Whalen concluded that the ratio from </w:t>
      </w:r>
      <w:r w:rsidRPr="0029505B">
        <w:rPr>
          <w:rFonts w:ascii="Times New Roman" w:hAnsi="Times New Roman"/>
          <w:i/>
        </w:rPr>
        <w:t>Whitefish</w:t>
      </w:r>
      <w:r>
        <w:rPr>
          <w:rFonts w:ascii="Times New Roman" w:hAnsi="Times New Roman"/>
        </w:rPr>
        <w:t xml:space="preserve"> provided that an award cannot rely on </w:t>
      </w:r>
      <w:r w:rsidRPr="0094476A">
        <w:rPr>
          <w:rFonts w:ascii="Times New Roman" w:hAnsi="Times New Roman"/>
        </w:rPr>
        <w:t>speculation when it offends an equitable presumption favouring the beneficiary</w:t>
      </w:r>
      <w:r>
        <w:rPr>
          <w:rFonts w:ascii="Times New Roman" w:hAnsi="Times New Roman"/>
        </w:rPr>
        <w:t>.</w:t>
      </w:r>
      <w:r>
        <w:rPr>
          <w:rStyle w:val="FootnoteReference"/>
          <w:rFonts w:ascii="Times New Roman" w:hAnsi="Times New Roman"/>
        </w:rPr>
        <w:footnoteReference w:id="16"/>
      </w:r>
      <w:r>
        <w:rPr>
          <w:rFonts w:ascii="Times New Roman" w:hAnsi="Times New Roman"/>
        </w:rPr>
        <w:t xml:space="preserve"> </w:t>
      </w:r>
    </w:p>
    <w:p w14:paraId="3D21D056" w14:textId="77777777" w:rsidR="0022073E" w:rsidRPr="00A04D53" w:rsidRDefault="0022073E" w:rsidP="0022073E">
      <w:pPr>
        <w:spacing w:line="276" w:lineRule="auto"/>
      </w:pPr>
    </w:p>
    <w:p w14:paraId="55424F67" w14:textId="77777777" w:rsidR="0022073E" w:rsidRPr="00072B04" w:rsidRDefault="0022073E" w:rsidP="0022073E">
      <w:pPr>
        <w:widowControl w:val="0"/>
        <w:autoSpaceDE w:val="0"/>
        <w:autoSpaceDN w:val="0"/>
        <w:adjustRightInd w:val="0"/>
        <w:spacing w:after="240" w:line="360" w:lineRule="atLeast"/>
        <w:rPr>
          <w:rFonts w:ascii="Times New Roman" w:hAnsi="Times New Roman"/>
          <w:i/>
        </w:rPr>
      </w:pPr>
      <w:r>
        <w:rPr>
          <w:rFonts w:ascii="Times New Roman" w:hAnsi="Times New Roman"/>
          <w:i/>
        </w:rPr>
        <w:t>It would be unfair not to recognize consumption as part of overall loss of opportunity</w:t>
      </w:r>
      <w:r w:rsidRPr="00072B04">
        <w:rPr>
          <w:rFonts w:ascii="Times New Roman" w:hAnsi="Times New Roman"/>
          <w:i/>
        </w:rPr>
        <w:t xml:space="preserve"> </w:t>
      </w:r>
    </w:p>
    <w:p w14:paraId="6BED0C4A" w14:textId="77777777" w:rsidR="0022073E" w:rsidRPr="00467E18" w:rsidRDefault="0022073E" w:rsidP="0022073E">
      <w:pPr>
        <w:spacing w:line="276" w:lineRule="auto"/>
        <w:rPr>
          <w:rFonts w:ascii="Times New Roman" w:eastAsia="Times New Roman" w:hAnsi="Times New Roman"/>
          <w:lang w:val="en-CA"/>
        </w:rPr>
      </w:pPr>
      <w:r>
        <w:rPr>
          <w:rFonts w:ascii="Times New Roman" w:hAnsi="Times New Roman"/>
        </w:rPr>
        <w:t>The Tribunal also emphasized the significance of</w:t>
      </w:r>
      <w:r w:rsidRPr="00A3157A">
        <w:rPr>
          <w:rFonts w:ascii="Times New Roman" w:hAnsi="Times New Roman"/>
        </w:rPr>
        <w:t xml:space="preserve"> HFN’s lost opportunity to consume. </w:t>
      </w:r>
      <w:r w:rsidRPr="00A3157A">
        <w:rPr>
          <w:rFonts w:ascii="Times New Roman" w:eastAsia="Times New Roman" w:hAnsi="Times New Roman"/>
          <w:lang w:val="en-CA"/>
        </w:rPr>
        <w:t>Justice Whalen noted that</w:t>
      </w:r>
      <w:r>
        <w:rPr>
          <w:rFonts w:ascii="Times New Roman" w:eastAsia="Times New Roman" w:hAnsi="Times New Roman"/>
          <w:lang w:val="en-CA"/>
        </w:rPr>
        <w:t xml:space="preserve"> although</w:t>
      </w:r>
      <w:r w:rsidRPr="00A3157A">
        <w:rPr>
          <w:rFonts w:ascii="Times New Roman" w:eastAsia="Times New Roman" w:hAnsi="Times New Roman"/>
          <w:lang w:val="en-CA"/>
        </w:rPr>
        <w:t xml:space="preserve"> consumption</w:t>
      </w:r>
      <w:r>
        <w:rPr>
          <w:rFonts w:ascii="Times New Roman" w:eastAsia="Times New Roman" w:hAnsi="Times New Roman"/>
          <w:lang w:val="en-CA"/>
        </w:rPr>
        <w:t xml:space="preserve"> yields short-term benefits, it has an long-term impact on</w:t>
      </w:r>
      <w:r w:rsidRPr="00A3157A">
        <w:rPr>
          <w:rFonts w:ascii="Times New Roman" w:eastAsia="Times New Roman" w:hAnsi="Times New Roman"/>
          <w:lang w:val="en-CA"/>
        </w:rPr>
        <w:t xml:space="preserve"> the sustenance and well-being of </w:t>
      </w:r>
      <w:r>
        <w:rPr>
          <w:rFonts w:ascii="Times New Roman" w:eastAsia="Times New Roman" w:hAnsi="Times New Roman"/>
          <w:lang w:val="en-CA"/>
        </w:rPr>
        <w:t>the Band as a collective.</w:t>
      </w:r>
      <w:r w:rsidRPr="00A3157A">
        <w:rPr>
          <w:rStyle w:val="FootnoteReference"/>
          <w:rFonts w:ascii="Times New Roman" w:hAnsi="Times New Roman"/>
        </w:rPr>
        <w:footnoteReference w:id="17"/>
      </w:r>
      <w:r>
        <w:rPr>
          <w:rFonts w:ascii="Times New Roman" w:eastAsia="Times New Roman" w:hAnsi="Times New Roman"/>
          <w:lang w:val="en-CA"/>
        </w:rPr>
        <w:t xml:space="preserve"> </w:t>
      </w:r>
      <w:r>
        <w:rPr>
          <w:rFonts w:ascii="Times New Roman" w:hAnsi="Times New Roman"/>
        </w:rPr>
        <w:t xml:space="preserve">Moreover, the Tribunal observed that HFN’s main purpose in profiting from timber sales was to meet the needs of the band. Evidence showed that the HFN chiefs and council were very concerned for </w:t>
      </w:r>
      <w:r w:rsidRPr="00A3157A">
        <w:rPr>
          <w:rFonts w:ascii="Times New Roman" w:hAnsi="Times New Roman"/>
        </w:rPr>
        <w:t xml:space="preserve">the welfare of the </w:t>
      </w:r>
      <w:r>
        <w:rPr>
          <w:rFonts w:ascii="Times New Roman" w:hAnsi="Times New Roman"/>
        </w:rPr>
        <w:lastRenderedPageBreak/>
        <w:t>Band</w:t>
      </w:r>
      <w:r w:rsidRPr="00A3157A">
        <w:rPr>
          <w:rFonts w:ascii="Times New Roman" w:hAnsi="Times New Roman"/>
        </w:rPr>
        <w:t xml:space="preserve"> and that the band “was motivated to sell its timber precisely to address its subsistence level of poverty brought on by a poor economy and bad years of fishing.”</w:t>
      </w:r>
      <w:r w:rsidRPr="00A3157A">
        <w:rPr>
          <w:rStyle w:val="FootnoteReference"/>
          <w:rFonts w:ascii="Times New Roman" w:hAnsi="Times New Roman"/>
        </w:rPr>
        <w:footnoteReference w:id="18"/>
      </w:r>
      <w:r w:rsidRPr="00A3157A">
        <w:rPr>
          <w:rFonts w:ascii="Times New Roman" w:hAnsi="Times New Roman"/>
        </w:rPr>
        <w:t xml:space="preserve"> </w:t>
      </w:r>
    </w:p>
    <w:p w14:paraId="7FFD65F8" w14:textId="77777777" w:rsidR="0022073E" w:rsidRDefault="0022073E" w:rsidP="0022073E">
      <w:pPr>
        <w:spacing w:line="276" w:lineRule="auto"/>
        <w:rPr>
          <w:rFonts w:ascii="Times New Roman" w:hAnsi="Times New Roman"/>
        </w:rPr>
      </w:pPr>
    </w:p>
    <w:p w14:paraId="373DDB4C" w14:textId="77777777" w:rsidR="0022073E" w:rsidRDefault="0022073E" w:rsidP="0022073E">
      <w:pPr>
        <w:spacing w:line="276" w:lineRule="auto"/>
        <w:rPr>
          <w:rFonts w:ascii="Times New Roman" w:hAnsi="Times New Roman"/>
        </w:rPr>
      </w:pPr>
      <w:r>
        <w:rPr>
          <w:rFonts w:ascii="Times New Roman" w:hAnsi="Times New Roman"/>
        </w:rPr>
        <w:t xml:space="preserve">Further, the Tribunal found that </w:t>
      </w:r>
      <w:r w:rsidRPr="009F0735">
        <w:rPr>
          <w:rFonts w:ascii="Times New Roman" w:hAnsi="Times New Roman"/>
        </w:rPr>
        <w:t xml:space="preserve">in this case, there was sufficient evidence to </w:t>
      </w:r>
      <w:r>
        <w:rPr>
          <w:rFonts w:ascii="Times New Roman" w:hAnsi="Times New Roman"/>
        </w:rPr>
        <w:t>establish HFN’s spending</w:t>
      </w:r>
      <w:r w:rsidRPr="009F0735">
        <w:rPr>
          <w:rFonts w:ascii="Times New Roman" w:hAnsi="Times New Roman"/>
        </w:rPr>
        <w:t xml:space="preserve"> patterns and </w:t>
      </w:r>
      <w:r>
        <w:rPr>
          <w:rFonts w:ascii="Times New Roman" w:hAnsi="Times New Roman"/>
        </w:rPr>
        <w:t>that the evidence supported</w:t>
      </w:r>
      <w:r w:rsidRPr="009F0735">
        <w:rPr>
          <w:rFonts w:ascii="Times New Roman" w:hAnsi="Times New Roman"/>
        </w:rPr>
        <w:t xml:space="preserve"> a history of</w:t>
      </w:r>
      <w:r w:rsidRPr="004452F7">
        <w:rPr>
          <w:rFonts w:ascii="Times New Roman" w:hAnsi="Times New Roman"/>
        </w:rPr>
        <w:t xml:space="preserve"> careful and transparent decision-making.</w:t>
      </w:r>
      <w:r>
        <w:rPr>
          <w:rStyle w:val="FootnoteReference"/>
          <w:rFonts w:ascii="Times New Roman" w:hAnsi="Times New Roman"/>
        </w:rPr>
        <w:footnoteReference w:id="19"/>
      </w:r>
      <w:r>
        <w:rPr>
          <w:rFonts w:ascii="Times New Roman" w:hAnsi="Times New Roman"/>
        </w:rPr>
        <w:t xml:space="preserve"> </w:t>
      </w:r>
    </w:p>
    <w:p w14:paraId="5B12C45B" w14:textId="77777777" w:rsidR="0022073E" w:rsidRDefault="0022073E" w:rsidP="0022073E">
      <w:pPr>
        <w:spacing w:line="276" w:lineRule="auto"/>
        <w:rPr>
          <w:rFonts w:ascii="Times New Roman" w:hAnsi="Times New Roman"/>
        </w:rPr>
      </w:pPr>
    </w:p>
    <w:p w14:paraId="7A03B76A" w14:textId="77777777" w:rsidR="0022073E" w:rsidRPr="00D54B20" w:rsidRDefault="0022073E" w:rsidP="0022073E">
      <w:pPr>
        <w:spacing w:line="276" w:lineRule="auto"/>
        <w:rPr>
          <w:rFonts w:ascii="Times New Roman" w:hAnsi="Times New Roman"/>
        </w:rPr>
      </w:pPr>
      <w:r>
        <w:rPr>
          <w:rFonts w:ascii="Times New Roman" w:hAnsi="Times New Roman"/>
        </w:rPr>
        <w:t xml:space="preserve">Given that the very purpose of equitable compensation is to restore the wronged party’s lost opportunity, the </w:t>
      </w:r>
      <w:r w:rsidRPr="00D54B20">
        <w:rPr>
          <w:rFonts w:ascii="Times New Roman" w:hAnsi="Times New Roman"/>
        </w:rPr>
        <w:t>Tribunal concluded that “it would be very unfair not to recognize consumption as an important element of the overall loss of opportunity.”</w:t>
      </w:r>
      <w:r>
        <w:rPr>
          <w:rStyle w:val="FootnoteReference"/>
          <w:rFonts w:ascii="Times New Roman" w:hAnsi="Times New Roman"/>
        </w:rPr>
        <w:footnoteReference w:id="20"/>
      </w:r>
      <w:r>
        <w:rPr>
          <w:rFonts w:ascii="Times New Roman" w:hAnsi="Times New Roman"/>
          <w:sz w:val="32"/>
          <w:szCs w:val="32"/>
        </w:rPr>
        <w:t xml:space="preserve"> </w:t>
      </w:r>
    </w:p>
    <w:p w14:paraId="7BA04DF9" w14:textId="77777777" w:rsidR="0022073E" w:rsidRDefault="0022073E" w:rsidP="0022073E">
      <w:pPr>
        <w:spacing w:line="276" w:lineRule="auto"/>
        <w:rPr>
          <w:rFonts w:ascii="Times New Roman" w:hAnsi="Times New Roman"/>
        </w:rPr>
      </w:pPr>
    </w:p>
    <w:p w14:paraId="4EF781AE" w14:textId="77777777" w:rsidR="0022073E" w:rsidRPr="006B40C8" w:rsidRDefault="0022073E" w:rsidP="0022073E">
      <w:pPr>
        <w:spacing w:line="276" w:lineRule="auto"/>
        <w:rPr>
          <w:rFonts w:ascii="Times New Roman" w:hAnsi="Times New Roman"/>
          <w:i/>
        </w:rPr>
      </w:pPr>
      <w:r w:rsidRPr="006B40C8">
        <w:rPr>
          <w:rFonts w:ascii="Times New Roman" w:hAnsi="Times New Roman"/>
          <w:i/>
        </w:rPr>
        <w:t>Failure to compensate for consumption could disadvantage the poor</w:t>
      </w:r>
    </w:p>
    <w:p w14:paraId="0836BF57" w14:textId="77777777" w:rsidR="0022073E" w:rsidRDefault="0022073E" w:rsidP="0022073E">
      <w:pPr>
        <w:rPr>
          <w:rFonts w:ascii="Times New Roman" w:hAnsi="Times New Roman"/>
          <w:b/>
          <w:sz w:val="22"/>
          <w:szCs w:val="22"/>
        </w:rPr>
      </w:pPr>
    </w:p>
    <w:p w14:paraId="375718E4" w14:textId="77777777" w:rsidR="0022073E" w:rsidRPr="00A01533" w:rsidRDefault="0022073E" w:rsidP="0022073E">
      <w:pPr>
        <w:widowControl w:val="0"/>
        <w:autoSpaceDE w:val="0"/>
        <w:autoSpaceDN w:val="0"/>
        <w:adjustRightInd w:val="0"/>
        <w:spacing w:after="240" w:line="276" w:lineRule="auto"/>
        <w:rPr>
          <w:rFonts w:ascii="Times" w:hAnsi="Times" w:cs="Times"/>
        </w:rPr>
      </w:pPr>
      <w:r>
        <w:rPr>
          <w:rFonts w:ascii="Times New Roman" w:hAnsi="Times New Roman"/>
          <w:szCs w:val="22"/>
        </w:rPr>
        <w:t xml:space="preserve">The Tribunal </w:t>
      </w:r>
      <w:r>
        <w:rPr>
          <w:rFonts w:ascii="Times New Roman" w:hAnsi="Times New Roman"/>
        </w:rPr>
        <w:t xml:space="preserve">noted that failing to </w:t>
      </w:r>
      <w:r w:rsidRPr="0024397B">
        <w:rPr>
          <w:rFonts w:ascii="Times New Roman" w:hAnsi="Times New Roman"/>
        </w:rPr>
        <w:t>recognize lost opport</w:t>
      </w:r>
      <w:r>
        <w:rPr>
          <w:rFonts w:ascii="Times New Roman" w:hAnsi="Times New Roman"/>
        </w:rPr>
        <w:t>unities to spend on consumption could also disadvantage</w:t>
      </w:r>
      <w:r w:rsidRPr="0024397B">
        <w:rPr>
          <w:rFonts w:ascii="Times New Roman" w:hAnsi="Times New Roman"/>
        </w:rPr>
        <w:t xml:space="preserve"> poorer F</w:t>
      </w:r>
      <w:r>
        <w:rPr>
          <w:rFonts w:ascii="Times New Roman" w:hAnsi="Times New Roman"/>
        </w:rPr>
        <w:t xml:space="preserve">irst Nations. Failing to recognize </w:t>
      </w:r>
      <w:r w:rsidRPr="0024397B">
        <w:rPr>
          <w:rFonts w:ascii="Times New Roman" w:hAnsi="Times New Roman"/>
        </w:rPr>
        <w:t xml:space="preserve">foregone consumption for impoverished First </w:t>
      </w:r>
      <w:r>
        <w:rPr>
          <w:rFonts w:ascii="Times New Roman" w:hAnsi="Times New Roman"/>
        </w:rPr>
        <w:t>Nations while recognizing</w:t>
      </w:r>
      <w:r w:rsidRPr="0024397B">
        <w:rPr>
          <w:rFonts w:ascii="Times New Roman" w:hAnsi="Times New Roman"/>
        </w:rPr>
        <w:t xml:space="preserve"> </w:t>
      </w:r>
      <w:r>
        <w:rPr>
          <w:rFonts w:ascii="Times New Roman" w:hAnsi="Times New Roman"/>
        </w:rPr>
        <w:t xml:space="preserve">the </w:t>
      </w:r>
      <w:r w:rsidRPr="0024397B">
        <w:rPr>
          <w:rFonts w:ascii="Times New Roman" w:hAnsi="Times New Roman"/>
        </w:rPr>
        <w:t>investment</w:t>
      </w:r>
      <w:r>
        <w:rPr>
          <w:rFonts w:ascii="Times New Roman" w:hAnsi="Times New Roman"/>
        </w:rPr>
        <w:t>s</w:t>
      </w:r>
      <w:r w:rsidRPr="0024397B">
        <w:rPr>
          <w:rFonts w:ascii="Times New Roman" w:hAnsi="Times New Roman"/>
        </w:rPr>
        <w:t xml:space="preserve"> and saving</w:t>
      </w:r>
      <w:r>
        <w:rPr>
          <w:rFonts w:ascii="Times New Roman" w:hAnsi="Times New Roman"/>
        </w:rPr>
        <w:t>s of wealthier First Nations would reduce liability for the trustee where the band was poor.</w:t>
      </w:r>
      <w:r w:rsidRPr="002C6641">
        <w:rPr>
          <w:rStyle w:val="FootnoteReference"/>
          <w:rFonts w:ascii="Times New Roman" w:hAnsi="Times New Roman"/>
        </w:rPr>
        <w:t xml:space="preserve"> </w:t>
      </w:r>
      <w:r w:rsidRPr="0024397B">
        <w:rPr>
          <w:rStyle w:val="FootnoteReference"/>
          <w:rFonts w:ascii="Times New Roman" w:hAnsi="Times New Roman"/>
        </w:rPr>
        <w:footnoteReference w:id="21"/>
      </w:r>
      <w:r>
        <w:rPr>
          <w:rFonts w:ascii="Times New Roman" w:hAnsi="Times New Roman"/>
        </w:rPr>
        <w:t xml:space="preserve"> Accordingly, a trustee </w:t>
      </w:r>
      <w:r w:rsidRPr="0024397B">
        <w:rPr>
          <w:rFonts w:ascii="Times New Roman" w:hAnsi="Times New Roman"/>
        </w:rPr>
        <w:t xml:space="preserve">might </w:t>
      </w:r>
      <w:r>
        <w:rPr>
          <w:rFonts w:ascii="Times New Roman" w:hAnsi="Times New Roman"/>
        </w:rPr>
        <w:t xml:space="preserve">not </w:t>
      </w:r>
      <w:r w:rsidRPr="0024397B">
        <w:rPr>
          <w:rFonts w:ascii="Times New Roman" w:hAnsi="Times New Roman"/>
        </w:rPr>
        <w:t xml:space="preserve">exercise the same degree of care </w:t>
      </w:r>
      <w:r>
        <w:rPr>
          <w:rFonts w:ascii="Times New Roman" w:hAnsi="Times New Roman"/>
        </w:rPr>
        <w:t>for poorer parties.</w:t>
      </w:r>
      <w:r w:rsidRPr="0024397B">
        <w:rPr>
          <w:rFonts w:ascii="Times New Roman" w:hAnsi="Times New Roman"/>
        </w:rPr>
        <w:t xml:space="preserve"> </w:t>
      </w:r>
      <w:r>
        <w:rPr>
          <w:rFonts w:ascii="Times New Roman" w:hAnsi="Times New Roman"/>
        </w:rPr>
        <w:t>Such a result would not only be unfair, it would also violate equitable compensation’s policy objectives of deterrence and enforcement.</w:t>
      </w:r>
      <w:r w:rsidRPr="00B35C1D">
        <w:rPr>
          <w:rStyle w:val="FootnoteReference"/>
          <w:rFonts w:ascii="Times New Roman" w:hAnsi="Times New Roman"/>
        </w:rPr>
        <w:t xml:space="preserve"> </w:t>
      </w:r>
      <w:r>
        <w:rPr>
          <w:rStyle w:val="FootnoteReference"/>
          <w:rFonts w:ascii="Times New Roman" w:hAnsi="Times New Roman"/>
        </w:rPr>
        <w:footnoteReference w:id="22"/>
      </w:r>
    </w:p>
    <w:p w14:paraId="2362A3B8" w14:textId="77777777" w:rsidR="0022073E" w:rsidRDefault="0022073E" w:rsidP="0022073E">
      <w:pPr>
        <w:spacing w:line="276" w:lineRule="auto"/>
        <w:rPr>
          <w:rFonts w:ascii="Times New Roman" w:hAnsi="Times New Roman"/>
        </w:rPr>
      </w:pPr>
      <w:r>
        <w:rPr>
          <w:rFonts w:ascii="Times New Roman" w:hAnsi="Times New Roman"/>
        </w:rPr>
        <w:t>Bearing these reasons in mind, the Tribunal concluded that a fair remedy for HFN should include the opportunity to make all spending decisions but for the breach</w:t>
      </w:r>
      <w:r w:rsidRPr="006115BE">
        <w:rPr>
          <w:rFonts w:ascii="Times New Roman" w:hAnsi="Times New Roman"/>
        </w:rPr>
        <w:t>.</w:t>
      </w:r>
      <w:r>
        <w:rPr>
          <w:rStyle w:val="FootnoteReference"/>
          <w:rFonts w:ascii="Times New Roman" w:hAnsi="Times New Roman"/>
        </w:rPr>
        <w:footnoteReference w:id="23"/>
      </w:r>
    </w:p>
    <w:p w14:paraId="1A2F88DC" w14:textId="77777777" w:rsidR="0022073E" w:rsidRDefault="0022073E" w:rsidP="0022073E">
      <w:pPr>
        <w:rPr>
          <w:rFonts w:ascii="Times" w:eastAsia="Times New Roman" w:hAnsi="Times"/>
          <w:sz w:val="22"/>
          <w:szCs w:val="22"/>
          <w:lang w:val="en-CA"/>
        </w:rPr>
      </w:pPr>
    </w:p>
    <w:p w14:paraId="2CA2308C" w14:textId="77777777" w:rsidR="0022073E" w:rsidRPr="0063773D" w:rsidRDefault="0022073E" w:rsidP="0022073E">
      <w:pPr>
        <w:rPr>
          <w:rFonts w:ascii="Times New Roman" w:eastAsia="Times New Roman" w:hAnsi="Times New Roman"/>
          <w:i/>
          <w:lang w:val="en-CA"/>
        </w:rPr>
      </w:pPr>
      <w:r w:rsidRPr="0063773D">
        <w:rPr>
          <w:rFonts w:ascii="Times New Roman" w:eastAsia="Times New Roman" w:hAnsi="Times New Roman"/>
          <w:i/>
          <w:lang w:val="en-CA"/>
        </w:rPr>
        <w:t>Compound interest may be applied in an equitable remedy</w:t>
      </w:r>
    </w:p>
    <w:p w14:paraId="652D2F6B" w14:textId="77777777" w:rsidR="0022073E" w:rsidRDefault="0022073E" w:rsidP="0022073E">
      <w:pPr>
        <w:rPr>
          <w:rFonts w:ascii="Times New Roman" w:eastAsia="Times New Roman" w:hAnsi="Times New Roman"/>
          <w:lang w:val="en-CA"/>
        </w:rPr>
      </w:pPr>
    </w:p>
    <w:p w14:paraId="1180FD6E" w14:textId="77777777" w:rsidR="0022073E" w:rsidRPr="00185F6F" w:rsidRDefault="0022073E" w:rsidP="0022073E">
      <w:pPr>
        <w:spacing w:line="276" w:lineRule="auto"/>
        <w:rPr>
          <w:rFonts w:ascii="Times New Roman" w:eastAsia="Times New Roman" w:hAnsi="Times New Roman"/>
          <w:lang w:val="en-CA"/>
        </w:rPr>
      </w:pPr>
      <w:r>
        <w:rPr>
          <w:rFonts w:ascii="Times New Roman" w:eastAsia="Times New Roman" w:hAnsi="Times New Roman"/>
          <w:lang w:val="en-CA"/>
        </w:rPr>
        <w:t>The Tribunal also contemplated whether compound interest or merely simple interest should be applied in calculating HFN’s compensation. Noting that the Supreme Court of Canada has recognized compound interest as a measure of opportunity cost and a generally superior method of dealing with the impact of time on money,</w:t>
      </w:r>
      <w:r>
        <w:rPr>
          <w:rStyle w:val="FootnoteReference"/>
          <w:rFonts w:ascii="Times New Roman" w:eastAsia="Times New Roman" w:hAnsi="Times New Roman"/>
          <w:lang w:val="en-CA"/>
        </w:rPr>
        <w:footnoteReference w:id="24"/>
      </w:r>
      <w:r>
        <w:rPr>
          <w:rFonts w:ascii="Times New Roman" w:eastAsia="Times New Roman" w:hAnsi="Times New Roman"/>
          <w:lang w:val="en-CA"/>
        </w:rPr>
        <w:t xml:space="preserve"> the Tribunal appeared to conclude that compound interest formed a part of equitable compensation.</w:t>
      </w:r>
      <w:r>
        <w:rPr>
          <w:rStyle w:val="FootnoteReference"/>
          <w:rFonts w:ascii="Times New Roman" w:eastAsia="Times New Roman" w:hAnsi="Times New Roman"/>
          <w:lang w:val="en-CA"/>
        </w:rPr>
        <w:footnoteReference w:id="25"/>
      </w:r>
    </w:p>
    <w:p w14:paraId="089B7184" w14:textId="77777777" w:rsidR="0022073E" w:rsidRDefault="0022073E" w:rsidP="0022073E">
      <w:pPr>
        <w:widowControl w:val="0"/>
        <w:autoSpaceDE w:val="0"/>
        <w:autoSpaceDN w:val="0"/>
        <w:adjustRightInd w:val="0"/>
        <w:spacing w:after="240" w:line="360" w:lineRule="atLeast"/>
        <w:rPr>
          <w:rFonts w:ascii="Times New Roman" w:hAnsi="Times New Roman"/>
          <w:b/>
        </w:rPr>
      </w:pPr>
      <w:r>
        <w:rPr>
          <w:rFonts w:ascii="Times New Roman" w:hAnsi="Times New Roman"/>
          <w:b/>
        </w:rPr>
        <w:lastRenderedPageBreak/>
        <w:t>Why This Case M</w:t>
      </w:r>
      <w:r w:rsidRPr="003D4294">
        <w:rPr>
          <w:rFonts w:ascii="Times New Roman" w:hAnsi="Times New Roman"/>
          <w:b/>
        </w:rPr>
        <w:t>atters</w:t>
      </w:r>
    </w:p>
    <w:p w14:paraId="4E5E7D0A" w14:textId="77777777" w:rsidR="0022073E" w:rsidRPr="0059497F" w:rsidRDefault="0022073E" w:rsidP="0022073E">
      <w:pPr>
        <w:widowControl w:val="0"/>
        <w:autoSpaceDE w:val="0"/>
        <w:autoSpaceDN w:val="0"/>
        <w:adjustRightInd w:val="0"/>
        <w:spacing w:after="240" w:line="276" w:lineRule="auto"/>
        <w:rPr>
          <w:rFonts w:ascii="Times New Roman" w:hAnsi="Times New Roman"/>
        </w:rPr>
      </w:pPr>
      <w:r>
        <w:rPr>
          <w:rFonts w:ascii="Times New Roman" w:hAnsi="Times New Roman"/>
        </w:rPr>
        <w:t xml:space="preserve">This decision recognizes that consumption can have a long-term value and that foregone consumption can represent a significant loss of opportunity. Accordingly, under an equitable remedy, a wronged party should be compensated for the lost opportunity to spend on consumption. If the decision stands, it will provide grounds for more substantial compensation for First Nations. This decision also provides compelling grounds to argue for the application of compound interest in equitable remedies in future cases. </w:t>
      </w:r>
    </w:p>
    <w:p w14:paraId="19EFC94B" w14:textId="77777777" w:rsidR="0022073E" w:rsidRDefault="0022073E" w:rsidP="0022073E"/>
    <w:p w14:paraId="1D9F8491" w14:textId="77777777" w:rsidR="0024495D" w:rsidRPr="00CB15D1" w:rsidRDefault="0024495D" w:rsidP="00982DC6">
      <w:pPr>
        <w:tabs>
          <w:tab w:val="left" w:pos="1440"/>
        </w:tabs>
        <w:rPr>
          <w:rFonts w:ascii="Times New Roman" w:eastAsia="Calibri" w:hAnsi="Times New Roman"/>
          <w:sz w:val="20"/>
        </w:rPr>
      </w:pPr>
    </w:p>
    <w:sectPr w:rsidR="0024495D" w:rsidRPr="00CB15D1" w:rsidSect="000F10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B853F" w14:textId="77777777" w:rsidR="00DC4393" w:rsidRDefault="00DC4393" w:rsidP="00E70424">
      <w:r>
        <w:separator/>
      </w:r>
    </w:p>
  </w:endnote>
  <w:endnote w:type="continuationSeparator" w:id="0">
    <w:p w14:paraId="3F6F735E" w14:textId="77777777" w:rsidR="00DC4393" w:rsidRDefault="00DC4393" w:rsidP="00E7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ntonio">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Futura Std Condensed">
    <w:altName w:val="Arial Narrow"/>
    <w:charset w:val="00"/>
    <w:family w:val="auto"/>
    <w:pitch w:val="variable"/>
    <w:sig w:usb0="00000003" w:usb1="4000204A" w:usb2="00000000" w:usb3="00000000" w:csb0="00000001" w:csb1="00000000"/>
  </w:font>
  <w:font w:name="Futura Std Condensed Light">
    <w:altName w:val="Arial Narrow"/>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3239"/>
      <w:gridCol w:w="3137"/>
      <w:gridCol w:w="3239"/>
    </w:tblGrid>
    <w:tr w:rsidR="00DC4393" w:rsidRPr="00886F2D" w14:paraId="3F7DB733" w14:textId="77777777" w:rsidTr="00886F2D">
      <w:trPr>
        <w:trHeight w:val="151"/>
      </w:trPr>
      <w:tc>
        <w:tcPr>
          <w:tcW w:w="2161" w:type="pct"/>
          <w:tcBorders>
            <w:top w:val="nil"/>
            <w:left w:val="nil"/>
            <w:bottom w:val="single" w:sz="4" w:space="0" w:color="4F81BD"/>
            <w:right w:val="nil"/>
          </w:tcBorders>
        </w:tcPr>
        <w:p w14:paraId="7F2E00F4" w14:textId="77777777" w:rsidR="00DC4393" w:rsidRPr="00886F2D" w:rsidRDefault="00DC4393" w:rsidP="0081598A">
          <w:pPr>
            <w:pStyle w:val="Header"/>
            <w:spacing w:line="276" w:lineRule="auto"/>
            <w:rPr>
              <w:rFonts w:ascii="Calibri" w:eastAsia="MS Gothic" w:hAnsi="Calibri"/>
              <w:b/>
              <w:bCs/>
              <w:color w:val="4F81BD"/>
            </w:rPr>
          </w:pPr>
        </w:p>
      </w:tc>
      <w:tc>
        <w:tcPr>
          <w:tcW w:w="678" w:type="pct"/>
          <w:vMerge w:val="restart"/>
          <w:noWrap/>
          <w:vAlign w:val="center"/>
          <w:hideMark/>
        </w:tcPr>
        <w:p w14:paraId="22E799C3" w14:textId="4D655DB9" w:rsidR="00DC4393" w:rsidRPr="00886F2D" w:rsidRDefault="00DC4393" w:rsidP="0081598A">
          <w:pPr>
            <w:pStyle w:val="NoSpacing"/>
            <w:spacing w:line="276" w:lineRule="auto"/>
            <w:rPr>
              <w:rFonts w:ascii="Calibri" w:hAnsi="Calibri"/>
              <w:color w:val="365F91"/>
            </w:rPr>
          </w:pPr>
          <w:r w:rsidRPr="00886F2D">
            <w:rPr>
              <w:rFonts w:ascii="Futura Std Condensed Light" w:hAnsi="Futura Std Condensed Light"/>
            </w:rPr>
            <w:t>Westaway Law Group Professional Corporation</w:t>
          </w:r>
        </w:p>
      </w:tc>
      <w:tc>
        <w:tcPr>
          <w:tcW w:w="2161" w:type="pct"/>
          <w:tcBorders>
            <w:top w:val="nil"/>
            <w:left w:val="nil"/>
            <w:bottom w:val="single" w:sz="4" w:space="0" w:color="4F81BD"/>
            <w:right w:val="nil"/>
          </w:tcBorders>
        </w:tcPr>
        <w:p w14:paraId="2A0290E7" w14:textId="77777777" w:rsidR="00DC4393" w:rsidRPr="00886F2D" w:rsidRDefault="00DC4393" w:rsidP="0081598A">
          <w:pPr>
            <w:pStyle w:val="Header"/>
            <w:spacing w:line="276" w:lineRule="auto"/>
            <w:rPr>
              <w:rFonts w:ascii="Calibri" w:eastAsia="MS Gothic" w:hAnsi="Calibri"/>
              <w:b/>
              <w:bCs/>
              <w:color w:val="4F81BD"/>
            </w:rPr>
          </w:pPr>
        </w:p>
      </w:tc>
    </w:tr>
    <w:tr w:rsidR="00DC4393" w:rsidRPr="00886F2D" w14:paraId="61C98588" w14:textId="77777777" w:rsidTr="00886F2D">
      <w:trPr>
        <w:trHeight w:val="150"/>
      </w:trPr>
      <w:tc>
        <w:tcPr>
          <w:tcW w:w="2161" w:type="pct"/>
          <w:tcBorders>
            <w:top w:val="single" w:sz="4" w:space="0" w:color="4F81BD"/>
            <w:left w:val="nil"/>
            <w:bottom w:val="nil"/>
            <w:right w:val="nil"/>
          </w:tcBorders>
        </w:tcPr>
        <w:p w14:paraId="54E9EBBA" w14:textId="77777777" w:rsidR="00DC4393" w:rsidRPr="00886F2D" w:rsidRDefault="00DC4393" w:rsidP="0081598A">
          <w:pPr>
            <w:pStyle w:val="Header"/>
            <w:spacing w:line="276" w:lineRule="auto"/>
            <w:rPr>
              <w:rFonts w:ascii="Calibri" w:eastAsia="MS Gothic" w:hAnsi="Calibri"/>
              <w:b/>
              <w:bCs/>
              <w:color w:val="4F81BD"/>
            </w:rPr>
          </w:pPr>
        </w:p>
      </w:tc>
      <w:tc>
        <w:tcPr>
          <w:tcW w:w="0" w:type="auto"/>
          <w:vMerge/>
          <w:vAlign w:val="center"/>
          <w:hideMark/>
        </w:tcPr>
        <w:p w14:paraId="2D05345C" w14:textId="77777777" w:rsidR="00DC4393" w:rsidRPr="00886F2D" w:rsidRDefault="00DC4393" w:rsidP="0081598A">
          <w:pPr>
            <w:rPr>
              <w:rFonts w:ascii="Calibri" w:hAnsi="Calibri"/>
              <w:color w:val="365F91"/>
              <w:sz w:val="22"/>
              <w:szCs w:val="22"/>
            </w:rPr>
          </w:pPr>
        </w:p>
      </w:tc>
      <w:tc>
        <w:tcPr>
          <w:tcW w:w="2161" w:type="pct"/>
          <w:tcBorders>
            <w:top w:val="single" w:sz="4" w:space="0" w:color="4F81BD"/>
            <w:left w:val="nil"/>
            <w:bottom w:val="nil"/>
            <w:right w:val="nil"/>
          </w:tcBorders>
        </w:tcPr>
        <w:p w14:paraId="3BB67594" w14:textId="77777777" w:rsidR="00DC4393" w:rsidRPr="00886F2D" w:rsidRDefault="00DC4393" w:rsidP="0081598A">
          <w:pPr>
            <w:pStyle w:val="Header"/>
            <w:spacing w:line="276" w:lineRule="auto"/>
            <w:rPr>
              <w:rFonts w:ascii="Calibri" w:eastAsia="MS Gothic" w:hAnsi="Calibri"/>
              <w:b/>
              <w:bCs/>
              <w:color w:val="4F81BD"/>
            </w:rPr>
          </w:pPr>
        </w:p>
      </w:tc>
    </w:tr>
  </w:tbl>
  <w:p w14:paraId="42E7AA60" w14:textId="77777777" w:rsidR="00DC4393" w:rsidRDefault="00DC4393">
    <w:pPr>
      <w:pStyle w:val="Footer"/>
    </w:pPr>
  </w:p>
  <w:p w14:paraId="57EDC28F" w14:textId="77777777" w:rsidR="00CC24F2" w:rsidRDefault="00CC24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EE066" w14:textId="1EAC37B3" w:rsidR="00DC4393" w:rsidRPr="00752A0F" w:rsidRDefault="0022073E" w:rsidP="00752A0F">
    <w:pPr>
      <w:pStyle w:val="Footer"/>
      <w:ind w:right="-99" w:hanging="1134"/>
      <w:rPr>
        <w:rFonts w:ascii="Times New Roman" w:hAnsi="Times New Roman"/>
      </w:rPr>
    </w:pPr>
    <w:r w:rsidRPr="006B3D91">
      <w:rPr>
        <w:rFonts w:hint="eastAsia"/>
        <w:noProof/>
        <w:lang w:val="en-CA" w:eastAsia="en-CA"/>
      </w:rPr>
      <w:drawing>
        <wp:anchor distT="0" distB="0" distL="114300" distR="114300" simplePos="0" relativeHeight="251661312" behindDoc="1" locked="0" layoutInCell="1" allowOverlap="1" wp14:anchorId="28D3CE6A" wp14:editId="20821998">
          <wp:simplePos x="0" y="0"/>
          <wp:positionH relativeFrom="column">
            <wp:posOffset>-485775</wp:posOffset>
          </wp:positionH>
          <wp:positionV relativeFrom="paragraph">
            <wp:posOffset>107950</wp:posOffset>
          </wp:positionV>
          <wp:extent cx="6934200" cy="427355"/>
          <wp:effectExtent l="0" t="0" r="0" b="0"/>
          <wp:wrapNone/>
          <wp:docPr id="1" name="Picture 1" descr="Screen Shot 2016-09-19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9-19 a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427355"/>
                  </a:xfrm>
                  <a:prstGeom prst="rect">
                    <a:avLst/>
                  </a:prstGeom>
                  <a:noFill/>
                  <a:ln>
                    <a:noFill/>
                  </a:ln>
                </pic:spPr>
              </pic:pic>
            </a:graphicData>
          </a:graphic>
        </wp:anchor>
      </w:drawing>
    </w:r>
    <w:r w:rsidR="00752A0F">
      <w:rPr>
        <w:rFonts w:ascii="Times New Roman" w:hAnsi="Times New Roman"/>
      </w:rPr>
      <w:tab/>
    </w:r>
  </w:p>
  <w:p w14:paraId="3A1CAB92" w14:textId="77777777" w:rsidR="0022073E" w:rsidRDefault="0022073E" w:rsidP="0022073E">
    <w:pPr>
      <w:jc w:val="right"/>
    </w:pPr>
  </w:p>
  <w:p w14:paraId="2249FA31" w14:textId="17FFDA4E" w:rsidR="00CC24F2" w:rsidRPr="0022073E" w:rsidRDefault="0022073E" w:rsidP="0022073E">
    <w:pPr>
      <w:jc w:val="right"/>
      <w:rPr>
        <w:rFonts w:ascii="Times New Roman" w:hAnsi="Times New Roman"/>
      </w:rPr>
    </w:pPr>
    <w:r w:rsidRPr="0022073E">
      <w:rPr>
        <w:rFonts w:ascii="Times New Roman" w:hAnsi="Times New Roman"/>
      </w:rPr>
      <w:fldChar w:fldCharType="begin"/>
    </w:r>
    <w:r w:rsidRPr="0022073E">
      <w:rPr>
        <w:rFonts w:ascii="Times New Roman" w:hAnsi="Times New Roman"/>
      </w:rPr>
      <w:instrText xml:space="preserve"> PAGE   \* MERGEFORMAT </w:instrText>
    </w:r>
    <w:r w:rsidRPr="0022073E">
      <w:rPr>
        <w:rFonts w:ascii="Times New Roman" w:hAnsi="Times New Roman"/>
      </w:rPr>
      <w:fldChar w:fldCharType="separate"/>
    </w:r>
    <w:r w:rsidR="00622772">
      <w:rPr>
        <w:rFonts w:ascii="Times New Roman" w:hAnsi="Times New Roman"/>
        <w:noProof/>
      </w:rPr>
      <w:t>5</w:t>
    </w:r>
    <w:r w:rsidRPr="0022073E">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9F3F3" w14:textId="3E28488A" w:rsidR="00DC4393" w:rsidRPr="006B3D91" w:rsidRDefault="0022073E" w:rsidP="006B3D91">
    <w:pPr>
      <w:pStyle w:val="Footer"/>
      <w:ind w:right="-99" w:hanging="1134"/>
    </w:pPr>
    <w:r w:rsidRPr="006B3D91">
      <w:rPr>
        <w:rFonts w:hint="eastAsia"/>
        <w:noProof/>
        <w:lang w:val="en-CA" w:eastAsia="en-CA"/>
      </w:rPr>
      <w:drawing>
        <wp:anchor distT="0" distB="0" distL="114300" distR="114300" simplePos="0" relativeHeight="251663360" behindDoc="1" locked="0" layoutInCell="1" allowOverlap="1" wp14:anchorId="2A73BDE9" wp14:editId="273517AD">
          <wp:simplePos x="0" y="0"/>
          <wp:positionH relativeFrom="margin">
            <wp:align>center</wp:align>
          </wp:positionH>
          <wp:positionV relativeFrom="paragraph">
            <wp:posOffset>-67310</wp:posOffset>
          </wp:positionV>
          <wp:extent cx="6934200" cy="427355"/>
          <wp:effectExtent l="0" t="0" r="0" b="0"/>
          <wp:wrapNone/>
          <wp:docPr id="2" name="Picture 2" descr="Screen Shot 2016-09-19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9-19 a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427355"/>
                  </a:xfrm>
                  <a:prstGeom prst="rect">
                    <a:avLst/>
                  </a:prstGeom>
                  <a:noFill/>
                  <a:ln>
                    <a:noFill/>
                  </a:ln>
                </pic:spPr>
              </pic:pic>
            </a:graphicData>
          </a:graphic>
        </wp:anchor>
      </w:drawing>
    </w:r>
    <w:r w:rsidR="006B3D9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59EC6" w14:textId="77777777" w:rsidR="00DC4393" w:rsidRDefault="00DC4393" w:rsidP="00E70424">
      <w:pPr>
        <w:rPr>
          <w:noProof/>
        </w:rPr>
      </w:pPr>
      <w:r>
        <w:rPr>
          <w:noProof/>
        </w:rPr>
        <w:separator/>
      </w:r>
    </w:p>
  </w:footnote>
  <w:footnote w:type="continuationSeparator" w:id="0">
    <w:p w14:paraId="706A7F3B" w14:textId="77777777" w:rsidR="00DC4393" w:rsidRDefault="00DC4393" w:rsidP="00E70424">
      <w:r>
        <w:continuationSeparator/>
      </w:r>
    </w:p>
  </w:footnote>
  <w:footnote w:id="1">
    <w:p w14:paraId="1F0A01DD" w14:textId="77777777" w:rsidR="0022073E" w:rsidRPr="00DC7E38" w:rsidRDefault="0022073E" w:rsidP="0022073E">
      <w:pPr>
        <w:pStyle w:val="FootnoteText"/>
        <w:rPr>
          <w:rFonts w:ascii="Times New Roman" w:hAnsi="Times New Roman"/>
          <w:sz w:val="20"/>
          <w:szCs w:val="20"/>
        </w:rPr>
      </w:pPr>
      <w:r w:rsidRPr="00DC7E38">
        <w:rPr>
          <w:rStyle w:val="FootnoteReference"/>
          <w:rFonts w:ascii="Times New Roman" w:hAnsi="Times New Roman"/>
          <w:sz w:val="20"/>
          <w:szCs w:val="20"/>
        </w:rPr>
        <w:footnoteRef/>
      </w:r>
      <w:r w:rsidRPr="00DC7E38">
        <w:rPr>
          <w:rFonts w:ascii="Times New Roman" w:hAnsi="Times New Roman"/>
          <w:sz w:val="20"/>
          <w:szCs w:val="20"/>
        </w:rPr>
        <w:t xml:space="preserve"> See </w:t>
      </w:r>
      <w:r w:rsidRPr="00513A66">
        <w:rPr>
          <w:rFonts w:ascii="Times New Roman" w:eastAsia="Times New Roman" w:hAnsi="Times New Roman"/>
          <w:i/>
          <w:sz w:val="20"/>
          <w:szCs w:val="20"/>
          <w:lang w:val="en-CA"/>
        </w:rPr>
        <w:t>Huu-Ay-Aht First Nations v Her Majesty the Queen in Right of Canada</w:t>
      </w:r>
      <w:r w:rsidRPr="00DC7E38">
        <w:rPr>
          <w:rFonts w:ascii="Times New Roman" w:eastAsia="Times New Roman" w:hAnsi="Times New Roman"/>
          <w:sz w:val="20"/>
          <w:szCs w:val="20"/>
          <w:lang w:val="en-CA"/>
        </w:rPr>
        <w:t>, 2014 SCTC 7.</w:t>
      </w:r>
    </w:p>
  </w:footnote>
  <w:footnote w:id="2">
    <w:p w14:paraId="5DF636ED" w14:textId="77777777" w:rsidR="0022073E" w:rsidRPr="00DC7E38" w:rsidRDefault="0022073E" w:rsidP="0022073E">
      <w:pPr>
        <w:rPr>
          <w:rFonts w:ascii="Times New Roman" w:hAnsi="Times New Roman"/>
          <w:sz w:val="20"/>
          <w:szCs w:val="20"/>
        </w:rPr>
      </w:pPr>
      <w:r w:rsidRPr="00DC7E38">
        <w:rPr>
          <w:rStyle w:val="FootnoteReference"/>
          <w:rFonts w:ascii="Times New Roman" w:hAnsi="Times New Roman"/>
          <w:sz w:val="20"/>
          <w:szCs w:val="20"/>
        </w:rPr>
        <w:footnoteRef/>
      </w:r>
      <w:r w:rsidRPr="00DC7E38">
        <w:rPr>
          <w:rFonts w:ascii="Times New Roman" w:hAnsi="Times New Roman"/>
          <w:sz w:val="20"/>
          <w:szCs w:val="20"/>
        </w:rPr>
        <w:t xml:space="preserve"> </w:t>
      </w:r>
      <w:r w:rsidRPr="006C6A84">
        <w:rPr>
          <w:rFonts w:ascii="Times New Roman" w:hAnsi="Times New Roman"/>
          <w:i/>
          <w:sz w:val="20"/>
          <w:szCs w:val="20"/>
          <w:lang w:val="en-CA"/>
        </w:rPr>
        <w:t>Huu-ay-aht First Nations v Her Majesty the Queen in Right of Canada</w:t>
      </w:r>
      <w:r>
        <w:rPr>
          <w:rFonts w:ascii="Times New Roman" w:hAnsi="Times New Roman"/>
          <w:i/>
          <w:sz w:val="20"/>
          <w:szCs w:val="20"/>
          <w:lang w:val="en-CA"/>
        </w:rPr>
        <w:t>,</w:t>
      </w:r>
      <w:r w:rsidRPr="006C6A84">
        <w:rPr>
          <w:rFonts w:ascii="Times New Roman" w:hAnsi="Times New Roman"/>
          <w:sz w:val="20"/>
          <w:szCs w:val="20"/>
          <w:lang w:val="en-CA"/>
        </w:rPr>
        <w:t xml:space="preserve"> </w:t>
      </w:r>
      <w:r>
        <w:rPr>
          <w:rFonts w:ascii="Times New Roman" w:hAnsi="Times New Roman"/>
          <w:sz w:val="20"/>
          <w:szCs w:val="20"/>
        </w:rPr>
        <w:t>2016 SCTC 14</w:t>
      </w:r>
      <w:r w:rsidRPr="00D16AB2">
        <w:rPr>
          <w:rFonts w:ascii="Times New Roman" w:hAnsi="Times New Roman"/>
          <w:i/>
          <w:sz w:val="20"/>
          <w:szCs w:val="20"/>
        </w:rPr>
        <w:t xml:space="preserve"> </w:t>
      </w:r>
      <w:r>
        <w:rPr>
          <w:rFonts w:ascii="Times New Roman" w:hAnsi="Times New Roman"/>
          <w:sz w:val="20"/>
          <w:szCs w:val="20"/>
        </w:rPr>
        <w:t>at p</w:t>
      </w:r>
      <w:r w:rsidRPr="00DC7E38">
        <w:rPr>
          <w:rFonts w:ascii="Times New Roman" w:hAnsi="Times New Roman"/>
          <w:sz w:val="20"/>
          <w:szCs w:val="20"/>
        </w:rPr>
        <w:t>ara 306</w:t>
      </w:r>
      <w:r>
        <w:rPr>
          <w:rFonts w:ascii="Times New Roman" w:hAnsi="Times New Roman"/>
          <w:sz w:val="20"/>
          <w:szCs w:val="20"/>
        </w:rPr>
        <w:t xml:space="preserve"> [</w:t>
      </w:r>
      <w:r>
        <w:rPr>
          <w:rFonts w:ascii="Times New Roman" w:hAnsi="Times New Roman"/>
          <w:i/>
          <w:sz w:val="20"/>
          <w:szCs w:val="20"/>
          <w:lang w:val="en-CA"/>
        </w:rPr>
        <w:t>Huu-ay-aht Compensation Decision</w:t>
      </w:r>
      <w:r>
        <w:rPr>
          <w:rFonts w:ascii="Times New Roman" w:hAnsi="Times New Roman"/>
          <w:sz w:val="20"/>
          <w:szCs w:val="20"/>
          <w:lang w:val="en-CA"/>
        </w:rPr>
        <w:t>]</w:t>
      </w:r>
      <w:r w:rsidRPr="00DC7E38">
        <w:rPr>
          <w:rFonts w:ascii="Times New Roman" w:hAnsi="Times New Roman"/>
          <w:sz w:val="20"/>
          <w:szCs w:val="20"/>
        </w:rPr>
        <w:t xml:space="preserve">. </w:t>
      </w:r>
    </w:p>
  </w:footnote>
  <w:footnote w:id="3">
    <w:p w14:paraId="49A6126A" w14:textId="77777777" w:rsidR="0022073E" w:rsidRPr="007713A3" w:rsidRDefault="0022073E" w:rsidP="0022073E">
      <w:pPr>
        <w:pStyle w:val="FootnoteText"/>
        <w:rPr>
          <w:rFonts w:ascii="Times New Roman" w:hAnsi="Times New Roman"/>
          <w:sz w:val="20"/>
          <w:szCs w:val="20"/>
        </w:rPr>
      </w:pPr>
      <w:r w:rsidRPr="007713A3">
        <w:rPr>
          <w:rStyle w:val="FootnoteReference"/>
          <w:rFonts w:ascii="Times New Roman" w:hAnsi="Times New Roman"/>
          <w:sz w:val="20"/>
          <w:szCs w:val="20"/>
        </w:rPr>
        <w:footnoteRef/>
      </w:r>
      <w:r w:rsidRPr="007713A3">
        <w:rPr>
          <w:rFonts w:ascii="Times New Roman" w:hAnsi="Times New Roman"/>
          <w:sz w:val="20"/>
          <w:szCs w:val="20"/>
        </w:rPr>
        <w:t xml:space="preserve"> </w:t>
      </w:r>
      <w:r w:rsidRPr="00D16AB2">
        <w:rPr>
          <w:rFonts w:ascii="Times New Roman" w:hAnsi="Times New Roman"/>
          <w:i/>
          <w:sz w:val="20"/>
          <w:szCs w:val="20"/>
        </w:rPr>
        <w:t xml:space="preserve">Ibid </w:t>
      </w:r>
      <w:r>
        <w:rPr>
          <w:rFonts w:ascii="Times New Roman" w:hAnsi="Times New Roman"/>
          <w:sz w:val="20"/>
          <w:szCs w:val="20"/>
        </w:rPr>
        <w:t>at p</w:t>
      </w:r>
      <w:r w:rsidRPr="007713A3">
        <w:rPr>
          <w:rFonts w:ascii="Times New Roman" w:hAnsi="Times New Roman"/>
          <w:sz w:val="20"/>
          <w:szCs w:val="20"/>
        </w:rPr>
        <w:t>ara 154.</w:t>
      </w:r>
    </w:p>
  </w:footnote>
  <w:footnote w:id="4">
    <w:p w14:paraId="031D5111" w14:textId="77777777" w:rsidR="0022073E" w:rsidRPr="00DE4A1E" w:rsidRDefault="0022073E" w:rsidP="0022073E">
      <w:pPr>
        <w:pStyle w:val="FootnoteText"/>
        <w:rPr>
          <w:rFonts w:ascii="Times New Roman" w:hAnsi="Times New Roman"/>
          <w:sz w:val="20"/>
          <w:szCs w:val="20"/>
        </w:rPr>
      </w:pPr>
      <w:r w:rsidRPr="00DE4A1E">
        <w:rPr>
          <w:rStyle w:val="FootnoteReference"/>
          <w:rFonts w:ascii="Times New Roman" w:hAnsi="Times New Roman"/>
          <w:sz w:val="20"/>
          <w:szCs w:val="20"/>
        </w:rPr>
        <w:footnoteRef/>
      </w:r>
      <w:r w:rsidRPr="00DE4A1E">
        <w:rPr>
          <w:rFonts w:ascii="Times New Roman" w:hAnsi="Times New Roman"/>
          <w:sz w:val="20"/>
          <w:szCs w:val="20"/>
        </w:rPr>
        <w:t xml:space="preserve"> </w:t>
      </w:r>
      <w:r w:rsidRPr="00D16AB2">
        <w:rPr>
          <w:rFonts w:ascii="Times New Roman" w:hAnsi="Times New Roman"/>
          <w:i/>
          <w:sz w:val="20"/>
          <w:szCs w:val="20"/>
        </w:rPr>
        <w:t>Ibid</w:t>
      </w:r>
      <w:r w:rsidRPr="00DE4A1E">
        <w:rPr>
          <w:rFonts w:ascii="Times New Roman" w:hAnsi="Times New Roman"/>
          <w:sz w:val="20"/>
          <w:szCs w:val="20"/>
        </w:rPr>
        <w:t xml:space="preserve"> </w:t>
      </w:r>
      <w:r>
        <w:rPr>
          <w:rFonts w:ascii="Times New Roman" w:hAnsi="Times New Roman"/>
          <w:sz w:val="20"/>
          <w:szCs w:val="20"/>
        </w:rPr>
        <w:t>at p</w:t>
      </w:r>
      <w:r w:rsidRPr="00DE4A1E">
        <w:rPr>
          <w:rFonts w:ascii="Times New Roman" w:hAnsi="Times New Roman"/>
          <w:sz w:val="20"/>
          <w:szCs w:val="20"/>
        </w:rPr>
        <w:t>ara 97.</w:t>
      </w:r>
    </w:p>
  </w:footnote>
  <w:footnote w:id="5">
    <w:p w14:paraId="16BBA383" w14:textId="77777777" w:rsidR="0022073E" w:rsidRPr="00670B70" w:rsidRDefault="0022073E" w:rsidP="0022073E">
      <w:pPr>
        <w:rPr>
          <w:rFonts w:ascii="Times New Roman" w:eastAsia="Times New Roman" w:hAnsi="Times New Roman"/>
          <w:sz w:val="20"/>
          <w:szCs w:val="20"/>
          <w:lang w:val="en-CA"/>
        </w:rPr>
      </w:pPr>
      <w:r w:rsidRPr="00670B70">
        <w:rPr>
          <w:rStyle w:val="FootnoteReference"/>
          <w:rFonts w:ascii="Times New Roman" w:hAnsi="Times New Roman"/>
          <w:sz w:val="20"/>
          <w:szCs w:val="20"/>
        </w:rPr>
        <w:footnoteRef/>
      </w:r>
      <w:r w:rsidRPr="00670B70">
        <w:rPr>
          <w:rFonts w:ascii="Times New Roman" w:hAnsi="Times New Roman"/>
          <w:sz w:val="20"/>
          <w:szCs w:val="20"/>
        </w:rPr>
        <w:t xml:space="preserve"> </w:t>
      </w:r>
      <w:r w:rsidRPr="00670B70">
        <w:rPr>
          <w:rFonts w:ascii="Times New Roman" w:eastAsia="Times New Roman" w:hAnsi="Times New Roman"/>
          <w:i/>
          <w:iCs/>
          <w:sz w:val="20"/>
          <w:szCs w:val="20"/>
          <w:shd w:val="clear" w:color="auto" w:fill="FFFFFF"/>
          <w:lang w:val="en-CA"/>
        </w:rPr>
        <w:t>W</w:t>
      </w:r>
      <w:r>
        <w:rPr>
          <w:rFonts w:ascii="Times New Roman" w:eastAsia="Times New Roman" w:hAnsi="Times New Roman"/>
          <w:i/>
          <w:iCs/>
          <w:sz w:val="20"/>
          <w:szCs w:val="20"/>
          <w:shd w:val="clear" w:color="auto" w:fill="FFFFFF"/>
          <w:lang w:val="en-CA"/>
        </w:rPr>
        <w:t>hitefish Lake Band of Indians v</w:t>
      </w:r>
      <w:r w:rsidRPr="00670B70">
        <w:rPr>
          <w:rFonts w:ascii="Times New Roman" w:eastAsia="Times New Roman" w:hAnsi="Times New Roman"/>
          <w:i/>
          <w:iCs/>
          <w:sz w:val="20"/>
          <w:szCs w:val="20"/>
          <w:shd w:val="clear" w:color="auto" w:fill="FFFFFF"/>
          <w:lang w:val="en-CA"/>
        </w:rPr>
        <w:t> Canada (Attorney General</w:t>
      </w:r>
      <w:r w:rsidRPr="00670B70">
        <w:rPr>
          <w:rFonts w:ascii="Times New Roman" w:eastAsia="Times New Roman" w:hAnsi="Times New Roman"/>
          <w:sz w:val="20"/>
          <w:szCs w:val="20"/>
          <w:shd w:val="clear" w:color="auto" w:fill="FFFFFF"/>
          <w:lang w:val="en-CA"/>
        </w:rPr>
        <w:t>), 2007 ONCA 744.</w:t>
      </w:r>
    </w:p>
  </w:footnote>
  <w:footnote w:id="6">
    <w:p w14:paraId="377CA41F" w14:textId="77777777" w:rsidR="0022073E" w:rsidRPr="00DE4A1E" w:rsidRDefault="0022073E" w:rsidP="0022073E">
      <w:pPr>
        <w:pStyle w:val="FootnoteText"/>
        <w:rPr>
          <w:rFonts w:ascii="Times New Roman" w:hAnsi="Times New Roman"/>
          <w:sz w:val="20"/>
          <w:szCs w:val="20"/>
        </w:rPr>
      </w:pPr>
      <w:r w:rsidRPr="00DE4A1E">
        <w:rPr>
          <w:rStyle w:val="FootnoteReference"/>
          <w:rFonts w:ascii="Times New Roman" w:hAnsi="Times New Roman"/>
          <w:sz w:val="20"/>
          <w:szCs w:val="20"/>
        </w:rPr>
        <w:footnoteRef/>
      </w:r>
      <w:r w:rsidRPr="00DE4A1E">
        <w:rPr>
          <w:rFonts w:ascii="Times New Roman" w:hAnsi="Times New Roman"/>
          <w:sz w:val="20"/>
          <w:szCs w:val="20"/>
        </w:rPr>
        <w:t xml:space="preserve"> </w:t>
      </w:r>
      <w:r>
        <w:rPr>
          <w:rFonts w:ascii="Times New Roman" w:hAnsi="Times New Roman"/>
          <w:i/>
          <w:sz w:val="20"/>
          <w:szCs w:val="20"/>
          <w:lang w:val="en-CA"/>
        </w:rPr>
        <w:t>Huu-ay-aht Compensation Decision</w:t>
      </w:r>
      <w:r>
        <w:rPr>
          <w:rFonts w:ascii="Times New Roman" w:hAnsi="Times New Roman"/>
          <w:sz w:val="20"/>
          <w:szCs w:val="20"/>
          <w:lang w:val="en-CA"/>
        </w:rPr>
        <w:t>,</w:t>
      </w:r>
      <w:r w:rsidRPr="00DE4A1E">
        <w:rPr>
          <w:rFonts w:ascii="Times New Roman" w:hAnsi="Times New Roman"/>
          <w:sz w:val="20"/>
          <w:szCs w:val="20"/>
        </w:rPr>
        <w:t xml:space="preserve"> </w:t>
      </w:r>
      <w:r w:rsidRPr="005B55EC">
        <w:rPr>
          <w:rFonts w:ascii="Times New Roman" w:hAnsi="Times New Roman"/>
          <w:i/>
          <w:sz w:val="20"/>
          <w:szCs w:val="20"/>
        </w:rPr>
        <w:t>supra</w:t>
      </w:r>
      <w:r>
        <w:rPr>
          <w:rFonts w:ascii="Times New Roman" w:hAnsi="Times New Roman"/>
          <w:sz w:val="20"/>
          <w:szCs w:val="20"/>
        </w:rPr>
        <w:t xml:space="preserve"> note 2 at p</w:t>
      </w:r>
      <w:r w:rsidRPr="00DE4A1E">
        <w:rPr>
          <w:rFonts w:ascii="Times New Roman" w:hAnsi="Times New Roman"/>
          <w:sz w:val="20"/>
          <w:szCs w:val="20"/>
        </w:rPr>
        <w:t>ara 265.</w:t>
      </w:r>
    </w:p>
  </w:footnote>
  <w:footnote w:id="7">
    <w:p w14:paraId="43B10756" w14:textId="77777777" w:rsidR="0022073E" w:rsidRDefault="0022073E" w:rsidP="0022073E">
      <w:pPr>
        <w:pStyle w:val="FootnoteText"/>
      </w:pPr>
      <w:r w:rsidRPr="00DE4A1E">
        <w:rPr>
          <w:rStyle w:val="FootnoteReference"/>
          <w:rFonts w:ascii="Times New Roman" w:hAnsi="Times New Roman"/>
          <w:sz w:val="20"/>
          <w:szCs w:val="20"/>
        </w:rPr>
        <w:footnoteRef/>
      </w:r>
      <w:r>
        <w:rPr>
          <w:rFonts w:ascii="Times New Roman" w:hAnsi="Times New Roman"/>
          <w:sz w:val="20"/>
          <w:szCs w:val="20"/>
        </w:rPr>
        <w:t xml:space="preserve"> </w:t>
      </w:r>
      <w:r w:rsidRPr="00461AE2">
        <w:rPr>
          <w:rFonts w:ascii="Times New Roman" w:hAnsi="Times New Roman"/>
          <w:i/>
          <w:sz w:val="20"/>
          <w:szCs w:val="20"/>
        </w:rPr>
        <w:t xml:space="preserve">Ibid </w:t>
      </w:r>
      <w:r>
        <w:rPr>
          <w:rFonts w:ascii="Times New Roman" w:hAnsi="Times New Roman"/>
          <w:sz w:val="20"/>
          <w:szCs w:val="20"/>
        </w:rPr>
        <w:t>at p</w:t>
      </w:r>
      <w:r w:rsidRPr="00DE4A1E">
        <w:rPr>
          <w:rFonts w:ascii="Times New Roman" w:hAnsi="Times New Roman"/>
          <w:sz w:val="20"/>
          <w:szCs w:val="20"/>
        </w:rPr>
        <w:t>ara 118.</w:t>
      </w:r>
    </w:p>
  </w:footnote>
  <w:footnote w:id="8">
    <w:p w14:paraId="7973526B" w14:textId="77777777" w:rsidR="0022073E" w:rsidRPr="007530FE" w:rsidRDefault="0022073E" w:rsidP="0022073E">
      <w:pPr>
        <w:pStyle w:val="FootnoteText"/>
        <w:rPr>
          <w:rFonts w:ascii="Times New Roman" w:hAnsi="Times New Roman"/>
          <w:sz w:val="20"/>
          <w:szCs w:val="20"/>
        </w:rPr>
      </w:pPr>
      <w:r w:rsidRPr="007530FE">
        <w:rPr>
          <w:rStyle w:val="FootnoteReference"/>
          <w:rFonts w:ascii="Times New Roman" w:hAnsi="Times New Roman"/>
          <w:sz w:val="20"/>
          <w:szCs w:val="20"/>
        </w:rPr>
        <w:footnoteRef/>
      </w:r>
      <w:r w:rsidRPr="007530FE">
        <w:rPr>
          <w:rFonts w:ascii="Times New Roman" w:hAnsi="Times New Roman"/>
          <w:sz w:val="20"/>
          <w:szCs w:val="20"/>
        </w:rPr>
        <w:t xml:space="preserve"> </w:t>
      </w:r>
      <w:r w:rsidRPr="00461AE2">
        <w:rPr>
          <w:rFonts w:ascii="Times New Roman" w:hAnsi="Times New Roman"/>
          <w:i/>
          <w:sz w:val="20"/>
          <w:szCs w:val="20"/>
        </w:rPr>
        <w:t>Ibid</w:t>
      </w:r>
      <w:r w:rsidRPr="007530FE">
        <w:rPr>
          <w:rFonts w:ascii="Times New Roman" w:hAnsi="Times New Roman"/>
          <w:sz w:val="20"/>
          <w:szCs w:val="20"/>
        </w:rPr>
        <w:t xml:space="preserve"> </w:t>
      </w:r>
      <w:r>
        <w:rPr>
          <w:rFonts w:ascii="Times New Roman" w:hAnsi="Times New Roman"/>
          <w:sz w:val="20"/>
          <w:szCs w:val="20"/>
        </w:rPr>
        <w:t>at p</w:t>
      </w:r>
      <w:r w:rsidRPr="007530FE">
        <w:rPr>
          <w:rFonts w:ascii="Times New Roman" w:hAnsi="Times New Roman"/>
          <w:sz w:val="20"/>
          <w:szCs w:val="20"/>
        </w:rPr>
        <w:t>ara 306.</w:t>
      </w:r>
    </w:p>
  </w:footnote>
  <w:footnote w:id="9">
    <w:p w14:paraId="582DCD74" w14:textId="77777777" w:rsidR="0022073E" w:rsidRPr="007713A3" w:rsidRDefault="0022073E" w:rsidP="0022073E">
      <w:pPr>
        <w:pStyle w:val="FootnoteText"/>
        <w:rPr>
          <w:rFonts w:ascii="Times New Roman" w:hAnsi="Times New Roman"/>
          <w:sz w:val="20"/>
          <w:szCs w:val="20"/>
        </w:rPr>
      </w:pPr>
      <w:r w:rsidRPr="007713A3">
        <w:rPr>
          <w:rStyle w:val="FootnoteReference"/>
          <w:rFonts w:ascii="Times New Roman" w:hAnsi="Times New Roman"/>
          <w:sz w:val="20"/>
          <w:szCs w:val="20"/>
        </w:rPr>
        <w:footnoteRef/>
      </w:r>
      <w:r w:rsidRPr="007713A3">
        <w:rPr>
          <w:rFonts w:ascii="Times New Roman" w:hAnsi="Times New Roman"/>
          <w:sz w:val="20"/>
          <w:szCs w:val="20"/>
        </w:rPr>
        <w:t xml:space="preserve"> </w:t>
      </w:r>
      <w:r w:rsidRPr="00461AE2">
        <w:rPr>
          <w:rFonts w:ascii="Times New Roman" w:hAnsi="Times New Roman"/>
          <w:i/>
          <w:sz w:val="20"/>
          <w:szCs w:val="20"/>
        </w:rPr>
        <w:t>Ibid</w:t>
      </w:r>
      <w:r w:rsidRPr="007713A3">
        <w:rPr>
          <w:rFonts w:ascii="Times New Roman" w:hAnsi="Times New Roman"/>
          <w:sz w:val="20"/>
          <w:szCs w:val="20"/>
        </w:rPr>
        <w:t xml:space="preserve"> </w:t>
      </w:r>
      <w:r>
        <w:rPr>
          <w:rFonts w:ascii="Times New Roman" w:hAnsi="Times New Roman"/>
          <w:sz w:val="20"/>
          <w:szCs w:val="20"/>
        </w:rPr>
        <w:t xml:space="preserve">at para </w:t>
      </w:r>
      <w:r w:rsidRPr="007713A3">
        <w:rPr>
          <w:rFonts w:ascii="Times New Roman" w:hAnsi="Times New Roman"/>
          <w:sz w:val="20"/>
          <w:szCs w:val="20"/>
        </w:rPr>
        <w:t>187.</w:t>
      </w:r>
    </w:p>
  </w:footnote>
  <w:footnote w:id="10">
    <w:p w14:paraId="702FBB45" w14:textId="77777777" w:rsidR="0022073E" w:rsidRPr="007713A3" w:rsidRDefault="0022073E" w:rsidP="0022073E">
      <w:pPr>
        <w:pStyle w:val="FootnoteText"/>
        <w:rPr>
          <w:rFonts w:ascii="Times New Roman" w:hAnsi="Times New Roman"/>
          <w:sz w:val="20"/>
          <w:szCs w:val="20"/>
        </w:rPr>
      </w:pPr>
      <w:r w:rsidRPr="007713A3">
        <w:rPr>
          <w:rStyle w:val="FootnoteReference"/>
          <w:rFonts w:ascii="Times New Roman" w:hAnsi="Times New Roman"/>
          <w:sz w:val="20"/>
          <w:szCs w:val="20"/>
        </w:rPr>
        <w:footnoteRef/>
      </w:r>
      <w:r w:rsidRPr="007713A3">
        <w:rPr>
          <w:rFonts w:ascii="Times New Roman" w:hAnsi="Times New Roman"/>
          <w:sz w:val="20"/>
          <w:szCs w:val="20"/>
        </w:rPr>
        <w:t xml:space="preserve"> </w:t>
      </w:r>
      <w:r w:rsidRPr="00461AE2">
        <w:rPr>
          <w:rFonts w:ascii="Times New Roman" w:hAnsi="Times New Roman"/>
          <w:i/>
          <w:sz w:val="20"/>
          <w:szCs w:val="20"/>
        </w:rPr>
        <w:t>Ibid</w:t>
      </w:r>
      <w:r w:rsidRPr="007713A3">
        <w:rPr>
          <w:rFonts w:ascii="Times New Roman" w:hAnsi="Times New Roman"/>
          <w:sz w:val="20"/>
          <w:szCs w:val="20"/>
        </w:rPr>
        <w:t xml:space="preserve"> </w:t>
      </w:r>
      <w:r>
        <w:rPr>
          <w:rFonts w:ascii="Times New Roman" w:hAnsi="Times New Roman"/>
          <w:sz w:val="20"/>
          <w:szCs w:val="20"/>
        </w:rPr>
        <w:t xml:space="preserve">at para </w:t>
      </w:r>
      <w:r w:rsidRPr="007713A3">
        <w:rPr>
          <w:rFonts w:ascii="Times New Roman" w:hAnsi="Times New Roman"/>
          <w:sz w:val="20"/>
          <w:szCs w:val="20"/>
        </w:rPr>
        <w:t>190.</w:t>
      </w:r>
    </w:p>
  </w:footnote>
  <w:footnote w:id="11">
    <w:p w14:paraId="723047FD" w14:textId="77777777" w:rsidR="0022073E" w:rsidRPr="007713A3" w:rsidRDefault="0022073E" w:rsidP="0022073E">
      <w:pPr>
        <w:pStyle w:val="FootnoteText"/>
        <w:rPr>
          <w:rFonts w:ascii="Times New Roman" w:hAnsi="Times New Roman"/>
          <w:sz w:val="20"/>
          <w:szCs w:val="20"/>
        </w:rPr>
      </w:pPr>
      <w:r w:rsidRPr="007713A3">
        <w:rPr>
          <w:rStyle w:val="FootnoteReference"/>
          <w:rFonts w:ascii="Times New Roman" w:hAnsi="Times New Roman"/>
          <w:sz w:val="20"/>
          <w:szCs w:val="20"/>
        </w:rPr>
        <w:footnoteRef/>
      </w:r>
      <w:r>
        <w:rPr>
          <w:rFonts w:ascii="Times New Roman" w:hAnsi="Times New Roman"/>
          <w:sz w:val="20"/>
          <w:szCs w:val="20"/>
        </w:rPr>
        <w:t xml:space="preserve"> </w:t>
      </w:r>
      <w:r w:rsidRPr="00461AE2">
        <w:rPr>
          <w:rFonts w:ascii="Times New Roman" w:hAnsi="Times New Roman"/>
          <w:i/>
          <w:sz w:val="20"/>
          <w:szCs w:val="20"/>
        </w:rPr>
        <w:t>Ibid</w:t>
      </w:r>
      <w:r>
        <w:rPr>
          <w:rFonts w:ascii="Times New Roman" w:hAnsi="Times New Roman"/>
          <w:sz w:val="20"/>
          <w:szCs w:val="20"/>
        </w:rPr>
        <w:t xml:space="preserve"> at p</w:t>
      </w:r>
      <w:r w:rsidRPr="007713A3">
        <w:rPr>
          <w:rFonts w:ascii="Times New Roman" w:hAnsi="Times New Roman"/>
          <w:sz w:val="20"/>
          <w:szCs w:val="20"/>
        </w:rPr>
        <w:t>ara 156.</w:t>
      </w:r>
    </w:p>
  </w:footnote>
  <w:footnote w:id="12">
    <w:p w14:paraId="4146B3EA" w14:textId="77777777" w:rsidR="0022073E" w:rsidRPr="007713A3" w:rsidRDefault="0022073E" w:rsidP="0022073E">
      <w:pPr>
        <w:pStyle w:val="FootnoteText"/>
        <w:rPr>
          <w:rFonts w:ascii="Times New Roman" w:hAnsi="Times New Roman"/>
          <w:sz w:val="20"/>
          <w:szCs w:val="20"/>
        </w:rPr>
      </w:pPr>
      <w:r w:rsidRPr="007713A3">
        <w:rPr>
          <w:rStyle w:val="FootnoteReference"/>
          <w:rFonts w:ascii="Times New Roman" w:hAnsi="Times New Roman"/>
          <w:sz w:val="20"/>
          <w:szCs w:val="20"/>
        </w:rPr>
        <w:footnoteRef/>
      </w:r>
      <w:r w:rsidRPr="007713A3">
        <w:rPr>
          <w:rFonts w:ascii="Times New Roman" w:hAnsi="Times New Roman"/>
          <w:sz w:val="20"/>
          <w:szCs w:val="20"/>
        </w:rPr>
        <w:t xml:space="preserve"> </w:t>
      </w:r>
      <w:r w:rsidRPr="00461AE2">
        <w:rPr>
          <w:rFonts w:ascii="Times New Roman" w:hAnsi="Times New Roman"/>
          <w:i/>
          <w:sz w:val="20"/>
          <w:szCs w:val="20"/>
        </w:rPr>
        <w:t>Ibid</w:t>
      </w:r>
      <w:r w:rsidRPr="007713A3">
        <w:rPr>
          <w:rFonts w:ascii="Times New Roman" w:hAnsi="Times New Roman"/>
          <w:sz w:val="20"/>
          <w:szCs w:val="20"/>
        </w:rPr>
        <w:t xml:space="preserve"> </w:t>
      </w:r>
      <w:r>
        <w:rPr>
          <w:rFonts w:ascii="Times New Roman" w:hAnsi="Times New Roman"/>
          <w:sz w:val="20"/>
          <w:szCs w:val="20"/>
        </w:rPr>
        <w:t xml:space="preserve">at paras 158 and </w:t>
      </w:r>
      <w:r w:rsidRPr="007713A3">
        <w:rPr>
          <w:rFonts w:ascii="Times New Roman" w:hAnsi="Times New Roman"/>
          <w:sz w:val="20"/>
          <w:szCs w:val="20"/>
        </w:rPr>
        <w:t>203.</w:t>
      </w:r>
    </w:p>
  </w:footnote>
  <w:footnote w:id="13">
    <w:p w14:paraId="5070ED5A" w14:textId="77777777" w:rsidR="0022073E" w:rsidRPr="00C01C37" w:rsidRDefault="0022073E" w:rsidP="0022073E">
      <w:pPr>
        <w:pStyle w:val="FootnoteText"/>
        <w:rPr>
          <w:rFonts w:ascii="Times New Roman" w:hAnsi="Times New Roman"/>
          <w:sz w:val="20"/>
          <w:szCs w:val="20"/>
        </w:rPr>
      </w:pPr>
      <w:r w:rsidRPr="00C01C37">
        <w:rPr>
          <w:rStyle w:val="FootnoteReference"/>
          <w:rFonts w:ascii="Times New Roman" w:hAnsi="Times New Roman"/>
          <w:sz w:val="20"/>
          <w:szCs w:val="20"/>
        </w:rPr>
        <w:footnoteRef/>
      </w:r>
      <w:r w:rsidRPr="00C01C37">
        <w:rPr>
          <w:rFonts w:ascii="Times New Roman" w:hAnsi="Times New Roman"/>
          <w:sz w:val="20"/>
          <w:szCs w:val="20"/>
        </w:rPr>
        <w:t xml:space="preserve"> </w:t>
      </w:r>
      <w:r w:rsidRPr="00461AE2">
        <w:rPr>
          <w:rFonts w:ascii="Times New Roman" w:hAnsi="Times New Roman"/>
          <w:i/>
          <w:sz w:val="20"/>
          <w:szCs w:val="20"/>
        </w:rPr>
        <w:t>Ibid</w:t>
      </w:r>
      <w:r w:rsidRPr="00C01C37">
        <w:rPr>
          <w:rFonts w:ascii="Times New Roman" w:hAnsi="Times New Roman"/>
          <w:sz w:val="20"/>
          <w:szCs w:val="20"/>
        </w:rPr>
        <w:t xml:space="preserve"> </w:t>
      </w:r>
      <w:r>
        <w:rPr>
          <w:rFonts w:ascii="Times New Roman" w:hAnsi="Times New Roman"/>
          <w:sz w:val="20"/>
          <w:szCs w:val="20"/>
        </w:rPr>
        <w:t>at h</w:t>
      </w:r>
      <w:r w:rsidRPr="00C01C37">
        <w:rPr>
          <w:rFonts w:ascii="Times New Roman" w:hAnsi="Times New Roman"/>
          <w:sz w:val="20"/>
          <w:szCs w:val="20"/>
        </w:rPr>
        <w:t>eader.</w:t>
      </w:r>
    </w:p>
  </w:footnote>
  <w:footnote w:id="14">
    <w:p w14:paraId="174E6B44" w14:textId="77777777" w:rsidR="0022073E" w:rsidRPr="00C01C37" w:rsidRDefault="0022073E" w:rsidP="0022073E">
      <w:pPr>
        <w:pStyle w:val="FootnoteText"/>
        <w:rPr>
          <w:rFonts w:ascii="Times New Roman" w:hAnsi="Times New Roman"/>
          <w:sz w:val="20"/>
          <w:szCs w:val="20"/>
        </w:rPr>
      </w:pPr>
      <w:r w:rsidRPr="00C01C37">
        <w:rPr>
          <w:rStyle w:val="FootnoteReference"/>
          <w:rFonts w:ascii="Times New Roman" w:hAnsi="Times New Roman"/>
          <w:sz w:val="20"/>
          <w:szCs w:val="20"/>
        </w:rPr>
        <w:footnoteRef/>
      </w:r>
      <w:r w:rsidRPr="00C01C37">
        <w:rPr>
          <w:rFonts w:ascii="Times New Roman" w:hAnsi="Times New Roman"/>
          <w:sz w:val="20"/>
          <w:szCs w:val="20"/>
        </w:rPr>
        <w:t xml:space="preserve"> </w:t>
      </w:r>
      <w:r w:rsidRPr="00461AE2">
        <w:rPr>
          <w:rFonts w:ascii="Times New Roman" w:hAnsi="Times New Roman"/>
          <w:i/>
          <w:sz w:val="20"/>
          <w:szCs w:val="20"/>
        </w:rPr>
        <w:t>Ibid</w:t>
      </w:r>
      <w:r w:rsidRPr="00C01C37">
        <w:rPr>
          <w:rFonts w:ascii="Times New Roman" w:hAnsi="Times New Roman"/>
          <w:sz w:val="20"/>
          <w:szCs w:val="20"/>
        </w:rPr>
        <w:t xml:space="preserve"> </w:t>
      </w:r>
      <w:r>
        <w:rPr>
          <w:rFonts w:ascii="Times New Roman" w:hAnsi="Times New Roman"/>
          <w:sz w:val="20"/>
          <w:szCs w:val="20"/>
        </w:rPr>
        <w:t xml:space="preserve">at </w:t>
      </w:r>
      <w:r w:rsidRPr="00C01C37">
        <w:rPr>
          <w:rFonts w:ascii="Times New Roman" w:hAnsi="Times New Roman"/>
          <w:sz w:val="20"/>
          <w:szCs w:val="20"/>
        </w:rPr>
        <w:t>paras 253 and 256.</w:t>
      </w:r>
    </w:p>
  </w:footnote>
  <w:footnote w:id="15">
    <w:p w14:paraId="3675D3D0" w14:textId="77777777" w:rsidR="0022073E" w:rsidRPr="00C01C37" w:rsidRDefault="0022073E" w:rsidP="0022073E">
      <w:pPr>
        <w:pStyle w:val="FootnoteText"/>
        <w:rPr>
          <w:rFonts w:ascii="Times New Roman" w:hAnsi="Times New Roman"/>
          <w:sz w:val="20"/>
          <w:szCs w:val="20"/>
        </w:rPr>
      </w:pPr>
      <w:r w:rsidRPr="00C01C37">
        <w:rPr>
          <w:rStyle w:val="FootnoteReference"/>
          <w:rFonts w:ascii="Times New Roman" w:hAnsi="Times New Roman"/>
          <w:sz w:val="20"/>
          <w:szCs w:val="20"/>
        </w:rPr>
        <w:footnoteRef/>
      </w:r>
      <w:r w:rsidRPr="00C01C37">
        <w:rPr>
          <w:rFonts w:ascii="Times New Roman" w:hAnsi="Times New Roman"/>
          <w:sz w:val="20"/>
          <w:szCs w:val="20"/>
        </w:rPr>
        <w:t xml:space="preserve"> </w:t>
      </w:r>
      <w:r w:rsidRPr="00461AE2">
        <w:rPr>
          <w:rFonts w:ascii="Times New Roman" w:hAnsi="Times New Roman"/>
          <w:i/>
          <w:sz w:val="20"/>
          <w:szCs w:val="20"/>
        </w:rPr>
        <w:t>Ibid</w:t>
      </w:r>
      <w:r w:rsidRPr="00C01C37">
        <w:rPr>
          <w:rFonts w:ascii="Times New Roman" w:hAnsi="Times New Roman"/>
          <w:sz w:val="20"/>
          <w:szCs w:val="20"/>
        </w:rPr>
        <w:t xml:space="preserve"> </w:t>
      </w:r>
      <w:r>
        <w:rPr>
          <w:rFonts w:ascii="Times New Roman" w:hAnsi="Times New Roman"/>
          <w:sz w:val="20"/>
          <w:szCs w:val="20"/>
        </w:rPr>
        <w:t>at p</w:t>
      </w:r>
      <w:r w:rsidRPr="00C01C37">
        <w:rPr>
          <w:rFonts w:ascii="Times New Roman" w:hAnsi="Times New Roman"/>
          <w:sz w:val="20"/>
          <w:szCs w:val="20"/>
        </w:rPr>
        <w:t xml:space="preserve">ara 311. </w:t>
      </w:r>
    </w:p>
  </w:footnote>
  <w:footnote w:id="16">
    <w:p w14:paraId="614BB0AC" w14:textId="77777777" w:rsidR="0022073E" w:rsidRPr="00C01C37" w:rsidRDefault="0022073E" w:rsidP="0022073E">
      <w:pPr>
        <w:pStyle w:val="FootnoteText"/>
        <w:rPr>
          <w:rFonts w:ascii="Times New Roman" w:hAnsi="Times New Roman"/>
          <w:sz w:val="20"/>
          <w:szCs w:val="20"/>
        </w:rPr>
      </w:pPr>
      <w:r w:rsidRPr="00C01C37">
        <w:rPr>
          <w:rStyle w:val="FootnoteReference"/>
          <w:rFonts w:ascii="Times New Roman" w:hAnsi="Times New Roman"/>
          <w:sz w:val="20"/>
          <w:szCs w:val="20"/>
        </w:rPr>
        <w:footnoteRef/>
      </w:r>
      <w:r>
        <w:rPr>
          <w:rFonts w:ascii="Times New Roman" w:hAnsi="Times New Roman"/>
          <w:sz w:val="20"/>
          <w:szCs w:val="20"/>
        </w:rPr>
        <w:t xml:space="preserve"> </w:t>
      </w:r>
      <w:r w:rsidRPr="00461AE2">
        <w:rPr>
          <w:rFonts w:ascii="Times New Roman" w:hAnsi="Times New Roman"/>
          <w:i/>
          <w:sz w:val="20"/>
          <w:szCs w:val="20"/>
        </w:rPr>
        <w:t>Ibid</w:t>
      </w:r>
      <w:r>
        <w:rPr>
          <w:rFonts w:ascii="Times New Roman" w:hAnsi="Times New Roman"/>
          <w:sz w:val="20"/>
          <w:szCs w:val="20"/>
        </w:rPr>
        <w:t xml:space="preserve"> at p</w:t>
      </w:r>
      <w:r w:rsidRPr="00C01C37">
        <w:rPr>
          <w:rFonts w:ascii="Times New Roman" w:hAnsi="Times New Roman"/>
          <w:sz w:val="20"/>
          <w:szCs w:val="20"/>
        </w:rPr>
        <w:t>ara 263.</w:t>
      </w:r>
    </w:p>
  </w:footnote>
  <w:footnote w:id="17">
    <w:p w14:paraId="2FC595B8" w14:textId="77777777" w:rsidR="0022073E" w:rsidRPr="00C01C37" w:rsidRDefault="0022073E" w:rsidP="0022073E">
      <w:pPr>
        <w:pStyle w:val="FootnoteText"/>
        <w:rPr>
          <w:rFonts w:ascii="Times New Roman" w:hAnsi="Times New Roman"/>
          <w:sz w:val="20"/>
          <w:szCs w:val="20"/>
        </w:rPr>
      </w:pPr>
      <w:r w:rsidRPr="00C01C37">
        <w:rPr>
          <w:rStyle w:val="FootnoteReference"/>
          <w:rFonts w:ascii="Times New Roman" w:hAnsi="Times New Roman"/>
          <w:sz w:val="20"/>
          <w:szCs w:val="20"/>
        </w:rPr>
        <w:footnoteRef/>
      </w:r>
      <w:r>
        <w:rPr>
          <w:rFonts w:ascii="Times New Roman" w:hAnsi="Times New Roman"/>
          <w:sz w:val="20"/>
          <w:szCs w:val="20"/>
        </w:rPr>
        <w:t xml:space="preserve"> </w:t>
      </w:r>
      <w:r w:rsidRPr="00461AE2">
        <w:rPr>
          <w:rFonts w:ascii="Times New Roman" w:hAnsi="Times New Roman"/>
          <w:i/>
          <w:sz w:val="20"/>
          <w:szCs w:val="20"/>
        </w:rPr>
        <w:t>Ibid</w:t>
      </w:r>
      <w:r>
        <w:rPr>
          <w:rFonts w:ascii="Times New Roman" w:hAnsi="Times New Roman"/>
          <w:sz w:val="20"/>
          <w:szCs w:val="20"/>
        </w:rPr>
        <w:t xml:space="preserve"> at 315.</w:t>
      </w:r>
    </w:p>
  </w:footnote>
  <w:footnote w:id="18">
    <w:p w14:paraId="4A0D8883" w14:textId="77777777" w:rsidR="0022073E" w:rsidRPr="00C10A04" w:rsidRDefault="0022073E" w:rsidP="0022073E">
      <w:pPr>
        <w:pStyle w:val="FootnoteText"/>
        <w:rPr>
          <w:rFonts w:ascii="Times New Roman" w:hAnsi="Times New Roman"/>
          <w:sz w:val="20"/>
          <w:szCs w:val="20"/>
        </w:rPr>
      </w:pPr>
      <w:r w:rsidRPr="00C10A04">
        <w:rPr>
          <w:rStyle w:val="FootnoteReference"/>
          <w:rFonts w:ascii="Times New Roman" w:hAnsi="Times New Roman"/>
          <w:sz w:val="20"/>
          <w:szCs w:val="20"/>
        </w:rPr>
        <w:footnoteRef/>
      </w:r>
      <w:r w:rsidRPr="00C10A04">
        <w:rPr>
          <w:rFonts w:ascii="Times New Roman" w:hAnsi="Times New Roman"/>
          <w:sz w:val="20"/>
          <w:szCs w:val="20"/>
        </w:rPr>
        <w:t xml:space="preserve"> </w:t>
      </w:r>
      <w:r w:rsidRPr="00C10A04">
        <w:rPr>
          <w:rFonts w:ascii="Times New Roman" w:hAnsi="Times New Roman"/>
          <w:i/>
          <w:sz w:val="20"/>
          <w:szCs w:val="20"/>
        </w:rPr>
        <w:t>Ibid</w:t>
      </w:r>
      <w:r w:rsidRPr="00C10A04">
        <w:rPr>
          <w:rFonts w:ascii="Times New Roman" w:hAnsi="Times New Roman"/>
          <w:sz w:val="20"/>
          <w:szCs w:val="20"/>
        </w:rPr>
        <w:t xml:space="preserve"> at para 312.</w:t>
      </w:r>
    </w:p>
  </w:footnote>
  <w:footnote w:id="19">
    <w:p w14:paraId="043AED2C" w14:textId="77777777" w:rsidR="0022073E" w:rsidRDefault="0022073E" w:rsidP="0022073E">
      <w:pPr>
        <w:pStyle w:val="FootnoteText"/>
      </w:pPr>
      <w:r w:rsidRPr="006108FB">
        <w:rPr>
          <w:rStyle w:val="FootnoteReference"/>
          <w:rFonts w:ascii="Times New Roman" w:hAnsi="Times New Roman"/>
          <w:sz w:val="20"/>
          <w:szCs w:val="20"/>
        </w:rPr>
        <w:footnoteRef/>
      </w:r>
      <w:r w:rsidRPr="006108FB">
        <w:rPr>
          <w:sz w:val="20"/>
          <w:szCs w:val="20"/>
        </w:rPr>
        <w:t xml:space="preserve"> </w:t>
      </w:r>
      <w:r w:rsidRPr="006108FB">
        <w:rPr>
          <w:rFonts w:ascii="Times New Roman" w:hAnsi="Times New Roman"/>
          <w:i/>
          <w:sz w:val="20"/>
          <w:szCs w:val="20"/>
        </w:rPr>
        <w:t>Ibid</w:t>
      </w:r>
      <w:r w:rsidRPr="006108FB">
        <w:rPr>
          <w:rFonts w:ascii="Times New Roman" w:hAnsi="Times New Roman"/>
          <w:sz w:val="20"/>
          <w:szCs w:val="20"/>
        </w:rPr>
        <w:t xml:space="preserve"> at para 291.</w:t>
      </w:r>
    </w:p>
  </w:footnote>
  <w:footnote w:id="20">
    <w:p w14:paraId="63A973D2" w14:textId="77777777" w:rsidR="0022073E" w:rsidRPr="006108FB" w:rsidRDefault="0022073E" w:rsidP="0022073E">
      <w:pPr>
        <w:pStyle w:val="FootnoteText"/>
        <w:rPr>
          <w:sz w:val="20"/>
          <w:szCs w:val="20"/>
        </w:rPr>
      </w:pPr>
      <w:r w:rsidRPr="006108FB">
        <w:rPr>
          <w:rStyle w:val="FootnoteReference"/>
          <w:rFonts w:ascii="Times New Roman" w:hAnsi="Times New Roman"/>
          <w:sz w:val="20"/>
          <w:szCs w:val="20"/>
        </w:rPr>
        <w:footnoteRef/>
      </w:r>
      <w:r w:rsidRPr="006108FB">
        <w:rPr>
          <w:rFonts w:ascii="Times New Roman" w:hAnsi="Times New Roman"/>
          <w:sz w:val="20"/>
          <w:szCs w:val="20"/>
        </w:rPr>
        <w:t xml:space="preserve"> </w:t>
      </w:r>
      <w:r w:rsidRPr="006108FB">
        <w:rPr>
          <w:rFonts w:ascii="Times New Roman" w:hAnsi="Times New Roman"/>
          <w:i/>
          <w:sz w:val="20"/>
          <w:szCs w:val="20"/>
        </w:rPr>
        <w:t>Ibid</w:t>
      </w:r>
      <w:r w:rsidRPr="006108FB">
        <w:rPr>
          <w:rFonts w:ascii="Times New Roman" w:hAnsi="Times New Roman"/>
          <w:sz w:val="20"/>
          <w:szCs w:val="20"/>
        </w:rPr>
        <w:t xml:space="preserve"> at para 313.</w:t>
      </w:r>
    </w:p>
  </w:footnote>
  <w:footnote w:id="21">
    <w:p w14:paraId="76CD1A06" w14:textId="77777777" w:rsidR="0022073E" w:rsidRPr="0094476A" w:rsidRDefault="0022073E" w:rsidP="0022073E">
      <w:pPr>
        <w:pStyle w:val="FootnoteText"/>
        <w:rPr>
          <w:rFonts w:ascii="Times New Roman" w:hAnsi="Times New Roman"/>
          <w:sz w:val="20"/>
          <w:szCs w:val="20"/>
        </w:rPr>
      </w:pPr>
      <w:r w:rsidRPr="0094476A">
        <w:rPr>
          <w:rStyle w:val="FootnoteReference"/>
          <w:rFonts w:ascii="Times New Roman" w:hAnsi="Times New Roman"/>
          <w:sz w:val="20"/>
          <w:szCs w:val="20"/>
        </w:rPr>
        <w:footnoteRef/>
      </w:r>
      <w:r w:rsidRPr="0094476A">
        <w:rPr>
          <w:rFonts w:ascii="Times New Roman" w:hAnsi="Times New Roman"/>
          <w:sz w:val="20"/>
          <w:szCs w:val="20"/>
        </w:rPr>
        <w:t xml:space="preserve"> </w:t>
      </w:r>
      <w:r w:rsidRPr="00461AE2">
        <w:rPr>
          <w:rFonts w:ascii="Times New Roman" w:hAnsi="Times New Roman"/>
          <w:i/>
          <w:sz w:val="20"/>
          <w:szCs w:val="20"/>
        </w:rPr>
        <w:t>Ibid</w:t>
      </w:r>
      <w:r w:rsidRPr="0094476A">
        <w:rPr>
          <w:rFonts w:ascii="Times New Roman" w:hAnsi="Times New Roman"/>
          <w:sz w:val="20"/>
          <w:szCs w:val="20"/>
        </w:rPr>
        <w:t xml:space="preserve"> </w:t>
      </w:r>
      <w:r>
        <w:rPr>
          <w:rFonts w:ascii="Times New Roman" w:hAnsi="Times New Roman"/>
          <w:sz w:val="20"/>
          <w:szCs w:val="20"/>
        </w:rPr>
        <w:t>at p</w:t>
      </w:r>
      <w:r w:rsidRPr="0094476A">
        <w:rPr>
          <w:rFonts w:ascii="Times New Roman" w:hAnsi="Times New Roman"/>
          <w:sz w:val="20"/>
          <w:szCs w:val="20"/>
        </w:rPr>
        <w:t>ara 316.</w:t>
      </w:r>
    </w:p>
  </w:footnote>
  <w:footnote w:id="22">
    <w:p w14:paraId="356C571C" w14:textId="77777777" w:rsidR="0022073E" w:rsidRPr="00D605C0" w:rsidRDefault="0022073E" w:rsidP="0022073E">
      <w:pPr>
        <w:pStyle w:val="FootnoteText"/>
        <w:rPr>
          <w:rFonts w:ascii="Times New Roman" w:hAnsi="Times New Roman"/>
          <w:sz w:val="20"/>
          <w:szCs w:val="20"/>
        </w:rPr>
      </w:pPr>
      <w:r w:rsidRPr="0094476A">
        <w:rPr>
          <w:rStyle w:val="FootnoteReference"/>
          <w:rFonts w:ascii="Times New Roman" w:hAnsi="Times New Roman"/>
          <w:sz w:val="20"/>
          <w:szCs w:val="20"/>
        </w:rPr>
        <w:footnoteRef/>
      </w:r>
      <w:r>
        <w:rPr>
          <w:rFonts w:ascii="Times New Roman" w:hAnsi="Times New Roman"/>
          <w:sz w:val="20"/>
          <w:szCs w:val="20"/>
        </w:rPr>
        <w:t xml:space="preserve"> </w:t>
      </w:r>
      <w:r w:rsidRPr="00461AE2">
        <w:rPr>
          <w:rFonts w:ascii="Times New Roman" w:hAnsi="Times New Roman"/>
          <w:i/>
          <w:sz w:val="20"/>
          <w:szCs w:val="20"/>
        </w:rPr>
        <w:t>Ibid</w:t>
      </w:r>
      <w:r>
        <w:rPr>
          <w:rFonts w:ascii="Times New Roman" w:hAnsi="Times New Roman"/>
          <w:sz w:val="20"/>
          <w:szCs w:val="20"/>
        </w:rPr>
        <w:t xml:space="preserve"> at p</w:t>
      </w:r>
      <w:r w:rsidRPr="0094476A">
        <w:rPr>
          <w:rFonts w:ascii="Times New Roman" w:hAnsi="Times New Roman"/>
          <w:sz w:val="20"/>
          <w:szCs w:val="20"/>
        </w:rPr>
        <w:t>ara 317.</w:t>
      </w:r>
    </w:p>
  </w:footnote>
  <w:footnote w:id="23">
    <w:p w14:paraId="18569BA0" w14:textId="77777777" w:rsidR="0022073E" w:rsidRPr="002966B7" w:rsidRDefault="0022073E" w:rsidP="0022073E">
      <w:pPr>
        <w:pStyle w:val="FootnoteText"/>
        <w:rPr>
          <w:rFonts w:ascii="Times New Roman" w:hAnsi="Times New Roman"/>
          <w:sz w:val="20"/>
          <w:szCs w:val="20"/>
        </w:rPr>
      </w:pPr>
      <w:r w:rsidRPr="0094476A">
        <w:rPr>
          <w:rStyle w:val="FootnoteReference"/>
          <w:rFonts w:ascii="Times New Roman" w:hAnsi="Times New Roman"/>
          <w:sz w:val="20"/>
          <w:szCs w:val="20"/>
        </w:rPr>
        <w:footnoteRef/>
      </w:r>
      <w:r w:rsidRPr="0094476A">
        <w:rPr>
          <w:rFonts w:ascii="Times New Roman" w:hAnsi="Times New Roman"/>
          <w:sz w:val="20"/>
          <w:szCs w:val="20"/>
        </w:rPr>
        <w:t xml:space="preserve"> </w:t>
      </w:r>
      <w:r w:rsidRPr="002966B7">
        <w:rPr>
          <w:rFonts w:ascii="Times New Roman" w:hAnsi="Times New Roman"/>
          <w:i/>
          <w:sz w:val="20"/>
          <w:szCs w:val="20"/>
        </w:rPr>
        <w:t>Ibid</w:t>
      </w:r>
      <w:r w:rsidRPr="002966B7">
        <w:rPr>
          <w:rFonts w:ascii="Times New Roman" w:hAnsi="Times New Roman"/>
          <w:sz w:val="20"/>
          <w:szCs w:val="20"/>
        </w:rPr>
        <w:t xml:space="preserve"> at para 315.</w:t>
      </w:r>
    </w:p>
  </w:footnote>
  <w:footnote w:id="24">
    <w:p w14:paraId="4D9D036B" w14:textId="77777777" w:rsidR="0022073E" w:rsidRPr="00CA667D" w:rsidRDefault="0022073E" w:rsidP="0022073E">
      <w:pPr>
        <w:pStyle w:val="FootnoteText"/>
        <w:rPr>
          <w:rFonts w:ascii="Times New Roman" w:hAnsi="Times New Roman"/>
          <w:sz w:val="20"/>
          <w:szCs w:val="20"/>
        </w:rPr>
      </w:pPr>
      <w:r w:rsidRPr="00CA667D">
        <w:rPr>
          <w:rStyle w:val="FootnoteReference"/>
          <w:rFonts w:ascii="Times New Roman" w:hAnsi="Times New Roman"/>
          <w:sz w:val="20"/>
          <w:szCs w:val="20"/>
        </w:rPr>
        <w:footnoteRef/>
      </w:r>
      <w:r w:rsidRPr="00CA667D">
        <w:rPr>
          <w:rFonts w:ascii="Times New Roman" w:hAnsi="Times New Roman"/>
          <w:sz w:val="20"/>
          <w:szCs w:val="20"/>
        </w:rPr>
        <w:t xml:space="preserve"> </w:t>
      </w:r>
      <w:r w:rsidRPr="00CA667D">
        <w:rPr>
          <w:rFonts w:ascii="Times New Roman" w:hAnsi="Times New Roman"/>
          <w:i/>
          <w:sz w:val="20"/>
          <w:szCs w:val="20"/>
        </w:rPr>
        <w:t>Ibid</w:t>
      </w:r>
      <w:r w:rsidRPr="00CA667D">
        <w:rPr>
          <w:rFonts w:ascii="Times New Roman" w:hAnsi="Times New Roman"/>
          <w:sz w:val="20"/>
          <w:szCs w:val="20"/>
        </w:rPr>
        <w:t xml:space="preserve"> at para 252.</w:t>
      </w:r>
    </w:p>
  </w:footnote>
  <w:footnote w:id="25">
    <w:p w14:paraId="1B9905DA" w14:textId="77777777" w:rsidR="0022073E" w:rsidRDefault="0022073E" w:rsidP="0022073E">
      <w:pPr>
        <w:pStyle w:val="FootnoteText"/>
      </w:pPr>
      <w:r w:rsidRPr="00516CAD">
        <w:rPr>
          <w:rStyle w:val="FootnoteReference"/>
          <w:rFonts w:ascii="Times New Roman" w:hAnsi="Times New Roman"/>
          <w:sz w:val="20"/>
          <w:szCs w:val="20"/>
        </w:rPr>
        <w:footnoteRef/>
      </w:r>
      <w:r w:rsidRPr="00516CAD">
        <w:rPr>
          <w:rFonts w:ascii="Times New Roman" w:hAnsi="Times New Roman"/>
          <w:i/>
          <w:sz w:val="20"/>
          <w:szCs w:val="20"/>
        </w:rPr>
        <w:t xml:space="preserve"> Ibid</w:t>
      </w:r>
      <w:r>
        <w:rPr>
          <w:rFonts w:ascii="Times New Roman" w:hAnsi="Times New Roman"/>
          <w:sz w:val="20"/>
          <w:szCs w:val="20"/>
        </w:rPr>
        <w:t xml:space="preserve"> at para 317.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ADD82" w14:textId="77777777" w:rsidR="00DC4393" w:rsidRPr="00941DFE" w:rsidRDefault="00DC4393" w:rsidP="0081598A">
    <w:pPr>
      <w:pStyle w:val="Pa2"/>
      <w:rPr>
        <w:rFonts w:ascii="Futura Std Condensed" w:hAnsi="Futura Std Condensed" w:cs="Antonio"/>
        <w:color w:val="404041"/>
        <w:sz w:val="34"/>
        <w:szCs w:val="34"/>
      </w:rPr>
    </w:pPr>
    <w:r w:rsidRPr="00941DFE">
      <w:rPr>
        <w:rFonts w:ascii="Futura Std Condensed" w:hAnsi="Futura Std Condensed" w:cs="Antonio"/>
        <w:bCs/>
        <w:color w:val="404041"/>
        <w:sz w:val="34"/>
        <w:szCs w:val="34"/>
      </w:rPr>
      <w:t>WESTAWAY LAW GROUP</w:t>
    </w:r>
  </w:p>
  <w:p w14:paraId="74E7FA70" w14:textId="027F9679" w:rsidR="00DC4393" w:rsidRDefault="00DC4393" w:rsidP="00941DFE">
    <w:pPr>
      <w:pStyle w:val="Pa2"/>
      <w:rPr>
        <w:rStyle w:val="A1"/>
        <w:rFonts w:ascii="Futura Std Condensed Light" w:hAnsi="Futura Std Condensed Light"/>
      </w:rPr>
    </w:pPr>
    <w:r w:rsidRPr="00941DFE">
      <w:rPr>
        <w:rStyle w:val="A1"/>
        <w:rFonts w:ascii="Futura Std Condensed Light" w:hAnsi="Futura Std Condensed Light"/>
      </w:rPr>
      <w:t>Barristers and Solicitors</w:t>
    </w:r>
  </w:p>
  <w:p w14:paraId="73BC5621" w14:textId="77777777" w:rsidR="00DC4393" w:rsidRPr="00941DFE" w:rsidRDefault="00DC4393" w:rsidP="00941DFE">
    <w:pPr>
      <w:pStyle w:val="Default"/>
      <w:rPr>
        <w:sz w:val="8"/>
        <w:szCs w:val="8"/>
      </w:rPr>
    </w:pPr>
  </w:p>
  <w:p w14:paraId="595467B3" w14:textId="1448092B" w:rsidR="00DC4393" w:rsidRDefault="00DC4393" w:rsidP="0081598A">
    <w:pPr>
      <w:pStyle w:val="Header"/>
      <w:rPr>
        <w:rFonts w:ascii="Futura Std Condensed" w:hAnsi="Futura Std Condensed" w:cs="Antonio"/>
        <w:bCs/>
        <w:color w:val="567635"/>
        <w:sz w:val="28"/>
        <w:szCs w:val="28"/>
      </w:rPr>
    </w:pPr>
    <w:r w:rsidRPr="00941DFE">
      <w:rPr>
        <w:rFonts w:ascii="Futura Std Condensed" w:hAnsi="Futura Std Condensed" w:cs="Antonio"/>
        <w:bCs/>
        <w:color w:val="567635"/>
        <w:sz w:val="28"/>
        <w:szCs w:val="28"/>
      </w:rPr>
      <w:t>westawaylaw.ca</w:t>
    </w:r>
  </w:p>
  <w:p w14:paraId="468D9E7F" w14:textId="77777777" w:rsidR="00DC4393" w:rsidRPr="00941DFE" w:rsidRDefault="00DC4393" w:rsidP="0081598A">
    <w:pPr>
      <w:pStyle w:val="Header"/>
      <w:rPr>
        <w:rFonts w:ascii="Futura Std Condensed" w:hAnsi="Futura Std Condensed"/>
        <w:sz w:val="28"/>
        <w:szCs w:val="28"/>
      </w:rPr>
    </w:pPr>
  </w:p>
  <w:p w14:paraId="5630AE75" w14:textId="77777777" w:rsidR="00CC24F2" w:rsidRDefault="00CC24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13703" w14:textId="7D6C3D40" w:rsidR="00DC4393" w:rsidRDefault="009C1338" w:rsidP="0022073E">
    <w:pPr>
      <w:pStyle w:val="Default"/>
      <w:ind w:hanging="1134"/>
      <w:jc w:val="right"/>
    </w:pPr>
    <w:r>
      <w:rPr>
        <w:noProof/>
        <w:lang w:val="en-CA" w:eastAsia="en-CA"/>
      </w:rPr>
      <w:drawing>
        <wp:anchor distT="0" distB="0" distL="114300" distR="114300" simplePos="0" relativeHeight="251657216" behindDoc="0" locked="0" layoutInCell="1" allowOverlap="1" wp14:anchorId="640DD668" wp14:editId="413FDDA0">
          <wp:simplePos x="0" y="0"/>
          <wp:positionH relativeFrom="margin">
            <wp:align>left</wp:align>
          </wp:positionH>
          <wp:positionV relativeFrom="paragraph">
            <wp:posOffset>-1905</wp:posOffset>
          </wp:positionV>
          <wp:extent cx="1837267" cy="824766"/>
          <wp:effectExtent l="0" t="0" r="0" b="0"/>
          <wp:wrapSquare wrapText="bothSides"/>
          <wp:docPr id="17" name="Picture 17" descr="Screen Shot 2016-09-19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6-09-19 a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267" cy="824766"/>
                  </a:xfrm>
                  <a:prstGeom prst="rect">
                    <a:avLst/>
                  </a:prstGeom>
                  <a:noFill/>
                  <a:ln>
                    <a:noFill/>
                  </a:ln>
                </pic:spPr>
              </pic:pic>
            </a:graphicData>
          </a:graphic>
        </wp:anchor>
      </w:drawing>
    </w:r>
    <w:r w:rsidR="000966AA">
      <w:tab/>
    </w:r>
  </w:p>
  <w:p w14:paraId="7AA364EC" w14:textId="77777777" w:rsidR="000966AA" w:rsidRDefault="000966AA" w:rsidP="00AB1898">
    <w:pPr>
      <w:pStyle w:val="Default"/>
      <w:ind w:hanging="1134"/>
    </w:pPr>
  </w:p>
  <w:p w14:paraId="2DF6753C" w14:textId="77777777" w:rsidR="000966AA" w:rsidRDefault="000966AA" w:rsidP="00AB1898">
    <w:pPr>
      <w:pStyle w:val="Default"/>
      <w:ind w:hanging="1134"/>
    </w:pPr>
  </w:p>
  <w:p w14:paraId="62FC38A4" w14:textId="77777777" w:rsidR="000966AA" w:rsidRPr="00112870" w:rsidRDefault="000966AA" w:rsidP="00AB1898">
    <w:pPr>
      <w:pStyle w:val="Default"/>
      <w:ind w:hanging="1134"/>
    </w:pPr>
  </w:p>
  <w:p w14:paraId="2A97587E" w14:textId="7B5FD8B8" w:rsidR="00DC4393" w:rsidRPr="001621C0" w:rsidRDefault="00DC4393" w:rsidP="001621C0">
    <w:pPr>
      <w:pStyle w:val="Header"/>
      <w:tabs>
        <w:tab w:val="clear" w:pos="4320"/>
      </w:tabs>
      <w:jc w:val="right"/>
      <w:rPr>
        <w:rFonts w:ascii="Futura Std Condensed" w:hAnsi="Futura Std Condensed"/>
        <w:sz w:val="32"/>
        <w:szCs w:val="32"/>
      </w:rPr>
    </w:pPr>
  </w:p>
  <w:p w14:paraId="21D46905" w14:textId="77777777" w:rsidR="00CC24F2" w:rsidRDefault="00CC24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4A416" w14:textId="78D003EA" w:rsidR="00DC4393" w:rsidRPr="001621C0" w:rsidRDefault="00B85E94" w:rsidP="0022073E">
    <w:pPr>
      <w:pStyle w:val="Header"/>
      <w:tabs>
        <w:tab w:val="clear" w:pos="4320"/>
      </w:tabs>
      <w:ind w:right="-99"/>
      <w:rPr>
        <w:rFonts w:ascii="Futura Std Condensed" w:hAnsi="Futura Std Condensed"/>
        <w:sz w:val="32"/>
        <w:szCs w:val="32"/>
      </w:rPr>
    </w:pPr>
    <w:r>
      <w:rPr>
        <w:rFonts w:ascii="Futura Std Condensed" w:hAnsi="Futura Std Condensed"/>
        <w:noProof/>
        <w:sz w:val="32"/>
        <w:szCs w:val="32"/>
        <w:lang w:val="en-CA" w:eastAsia="en-CA"/>
      </w:rPr>
      <w:drawing>
        <wp:anchor distT="0" distB="0" distL="114300" distR="114300" simplePos="0" relativeHeight="251656192" behindDoc="0" locked="0" layoutInCell="1" allowOverlap="1" wp14:anchorId="473329AB" wp14:editId="4ABD9E5A">
          <wp:simplePos x="0" y="0"/>
          <wp:positionH relativeFrom="margin">
            <wp:align>center</wp:align>
          </wp:positionH>
          <wp:positionV relativeFrom="paragraph">
            <wp:posOffset>-1905</wp:posOffset>
          </wp:positionV>
          <wp:extent cx="6877131" cy="1007534"/>
          <wp:effectExtent l="0" t="0" r="0" b="254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0 at 1.25.26 PM final.png"/>
                  <pic:cNvPicPr/>
                </pic:nvPicPr>
                <pic:blipFill>
                  <a:blip r:embed="rId1">
                    <a:extLst>
                      <a:ext uri="{28A0092B-C50C-407E-A947-70E740481C1C}">
                        <a14:useLocalDpi xmlns:a14="http://schemas.microsoft.com/office/drawing/2010/main" val="0"/>
                      </a:ext>
                    </a:extLst>
                  </a:blip>
                  <a:stretch>
                    <a:fillRect/>
                  </a:stretch>
                </pic:blipFill>
                <pic:spPr>
                  <a:xfrm>
                    <a:off x="0" y="0"/>
                    <a:ext cx="6877131" cy="1007534"/>
                  </a:xfrm>
                  <a:prstGeom prst="rect">
                    <a:avLst/>
                  </a:prstGeom>
                </pic:spPr>
              </pic:pic>
            </a:graphicData>
          </a:graphic>
        </wp:anchor>
      </w:drawing>
    </w:r>
  </w:p>
  <w:p w14:paraId="64034BD2" w14:textId="77777777" w:rsidR="00DC4393" w:rsidRDefault="00DC4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3EF6"/>
    <w:multiLevelType w:val="hybridMultilevel"/>
    <w:tmpl w:val="D3FAD23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E123E2"/>
    <w:multiLevelType w:val="hybridMultilevel"/>
    <w:tmpl w:val="98B00A7C"/>
    <w:lvl w:ilvl="0" w:tplc="10090011">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88E3EEC"/>
    <w:multiLevelType w:val="hybridMultilevel"/>
    <w:tmpl w:val="A070577E"/>
    <w:lvl w:ilvl="0" w:tplc="99DAA6E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8E2397"/>
    <w:multiLevelType w:val="hybridMultilevel"/>
    <w:tmpl w:val="6AE8B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97528EE"/>
    <w:multiLevelType w:val="hybridMultilevel"/>
    <w:tmpl w:val="E39E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24"/>
    <w:rsid w:val="00022666"/>
    <w:rsid w:val="00050BEB"/>
    <w:rsid w:val="0008602A"/>
    <w:rsid w:val="000966AA"/>
    <w:rsid w:val="000C458B"/>
    <w:rsid w:val="000F1004"/>
    <w:rsid w:val="001127B3"/>
    <w:rsid w:val="00112870"/>
    <w:rsid w:val="00122402"/>
    <w:rsid w:val="001621C0"/>
    <w:rsid w:val="00174354"/>
    <w:rsid w:val="00182F9C"/>
    <w:rsid w:val="0022073E"/>
    <w:rsid w:val="0024495D"/>
    <w:rsid w:val="002724AE"/>
    <w:rsid w:val="002D1BBB"/>
    <w:rsid w:val="00311D33"/>
    <w:rsid w:val="00347D91"/>
    <w:rsid w:val="0040546F"/>
    <w:rsid w:val="00407B0C"/>
    <w:rsid w:val="00421BB6"/>
    <w:rsid w:val="004818CE"/>
    <w:rsid w:val="0049181D"/>
    <w:rsid w:val="004F4217"/>
    <w:rsid w:val="00572E3A"/>
    <w:rsid w:val="005A0DBC"/>
    <w:rsid w:val="005A1106"/>
    <w:rsid w:val="005A4A1C"/>
    <w:rsid w:val="00622772"/>
    <w:rsid w:val="006733A5"/>
    <w:rsid w:val="006B3D91"/>
    <w:rsid w:val="006B6C12"/>
    <w:rsid w:val="00752A0F"/>
    <w:rsid w:val="00791F37"/>
    <w:rsid w:val="007B6286"/>
    <w:rsid w:val="0081598A"/>
    <w:rsid w:val="008303BA"/>
    <w:rsid w:val="00886F2D"/>
    <w:rsid w:val="008A3975"/>
    <w:rsid w:val="00941DFE"/>
    <w:rsid w:val="00982DC6"/>
    <w:rsid w:val="00987C35"/>
    <w:rsid w:val="009C1338"/>
    <w:rsid w:val="009F073E"/>
    <w:rsid w:val="00A32239"/>
    <w:rsid w:val="00A56DBE"/>
    <w:rsid w:val="00A730A3"/>
    <w:rsid w:val="00A97403"/>
    <w:rsid w:val="00AB01C8"/>
    <w:rsid w:val="00AB1898"/>
    <w:rsid w:val="00AC4C0C"/>
    <w:rsid w:val="00B568B3"/>
    <w:rsid w:val="00B60B5B"/>
    <w:rsid w:val="00B85300"/>
    <w:rsid w:val="00B85E94"/>
    <w:rsid w:val="00BC786E"/>
    <w:rsid w:val="00C05BF3"/>
    <w:rsid w:val="00C07C94"/>
    <w:rsid w:val="00C34B1D"/>
    <w:rsid w:val="00CB15D1"/>
    <w:rsid w:val="00CC24F2"/>
    <w:rsid w:val="00D018A3"/>
    <w:rsid w:val="00D23606"/>
    <w:rsid w:val="00DC4393"/>
    <w:rsid w:val="00DD2F63"/>
    <w:rsid w:val="00DE40E6"/>
    <w:rsid w:val="00E27833"/>
    <w:rsid w:val="00E677AE"/>
    <w:rsid w:val="00E70424"/>
    <w:rsid w:val="00E72C98"/>
    <w:rsid w:val="00E970D5"/>
    <w:rsid w:val="00FD5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79E0C82C"/>
  <w15:docId w15:val="{8B13EFEB-4937-4F7C-B16D-E5F72166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C05BF3"/>
    <w:pPr>
      <w:keepNext/>
      <w:keepLines/>
      <w:spacing w:before="240" w:line="259" w:lineRule="auto"/>
      <w:outlineLvl w:val="0"/>
    </w:pPr>
    <w:rPr>
      <w:rFonts w:asciiTheme="majorHAnsi" w:eastAsiaTheme="majorEastAsia" w:hAnsiTheme="majorHAnsi" w:cstheme="majorBidi"/>
      <w:b/>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424"/>
    <w:pPr>
      <w:tabs>
        <w:tab w:val="center" w:pos="4320"/>
        <w:tab w:val="right" w:pos="8640"/>
      </w:tabs>
    </w:pPr>
  </w:style>
  <w:style w:type="character" w:customStyle="1" w:styleId="HeaderChar">
    <w:name w:val="Header Char"/>
    <w:basedOn w:val="DefaultParagraphFont"/>
    <w:link w:val="Header"/>
    <w:uiPriority w:val="99"/>
    <w:rsid w:val="00E70424"/>
  </w:style>
  <w:style w:type="paragraph" w:styleId="Footer">
    <w:name w:val="footer"/>
    <w:basedOn w:val="Normal"/>
    <w:link w:val="FooterChar"/>
    <w:uiPriority w:val="99"/>
    <w:unhideWhenUsed/>
    <w:rsid w:val="00E70424"/>
    <w:pPr>
      <w:tabs>
        <w:tab w:val="center" w:pos="4320"/>
        <w:tab w:val="right" w:pos="8640"/>
      </w:tabs>
    </w:pPr>
  </w:style>
  <w:style w:type="character" w:customStyle="1" w:styleId="FooterChar">
    <w:name w:val="Footer Char"/>
    <w:basedOn w:val="DefaultParagraphFont"/>
    <w:link w:val="Footer"/>
    <w:uiPriority w:val="99"/>
    <w:rsid w:val="00E70424"/>
  </w:style>
  <w:style w:type="table" w:styleId="LightShading-Accent1">
    <w:name w:val="Light Shading Accent 1"/>
    <w:basedOn w:val="TableNormal"/>
    <w:uiPriority w:val="60"/>
    <w:rsid w:val="00E70424"/>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1621C0"/>
    <w:rPr>
      <w:rFonts w:ascii="Lucida Grande" w:hAnsi="Lucida Grande" w:cs="Lucida Grande"/>
      <w:sz w:val="18"/>
      <w:szCs w:val="18"/>
    </w:rPr>
  </w:style>
  <w:style w:type="character" w:customStyle="1" w:styleId="BalloonTextChar">
    <w:name w:val="Balloon Text Char"/>
    <w:link w:val="BalloonText"/>
    <w:uiPriority w:val="99"/>
    <w:semiHidden/>
    <w:rsid w:val="001621C0"/>
    <w:rPr>
      <w:rFonts w:ascii="Lucida Grande" w:hAnsi="Lucida Grande" w:cs="Lucida Grande"/>
      <w:sz w:val="18"/>
      <w:szCs w:val="18"/>
    </w:rPr>
  </w:style>
  <w:style w:type="paragraph" w:customStyle="1" w:styleId="Default">
    <w:name w:val="Default"/>
    <w:rsid w:val="001621C0"/>
    <w:pPr>
      <w:widowControl w:val="0"/>
      <w:autoSpaceDE w:val="0"/>
      <w:autoSpaceDN w:val="0"/>
      <w:adjustRightInd w:val="0"/>
    </w:pPr>
    <w:rPr>
      <w:rFonts w:ascii="Antonio" w:hAnsi="Antonio" w:cs="Antonio"/>
      <w:color w:val="000000"/>
      <w:sz w:val="24"/>
      <w:szCs w:val="24"/>
      <w:lang w:val="en-US"/>
    </w:rPr>
  </w:style>
  <w:style w:type="paragraph" w:customStyle="1" w:styleId="Pa1">
    <w:name w:val="Pa1"/>
    <w:basedOn w:val="Default"/>
    <w:next w:val="Default"/>
    <w:uiPriority w:val="99"/>
    <w:rsid w:val="001621C0"/>
    <w:pPr>
      <w:spacing w:line="241" w:lineRule="atLeast"/>
    </w:pPr>
    <w:rPr>
      <w:rFonts w:cs="Times New Roman"/>
      <w:color w:val="auto"/>
    </w:rPr>
  </w:style>
  <w:style w:type="character" w:customStyle="1" w:styleId="A1">
    <w:name w:val="A1"/>
    <w:uiPriority w:val="99"/>
    <w:rsid w:val="001621C0"/>
    <w:rPr>
      <w:rFonts w:cs="Antonio"/>
      <w:color w:val="404041"/>
      <w:sz w:val="22"/>
      <w:szCs w:val="22"/>
    </w:rPr>
  </w:style>
  <w:style w:type="paragraph" w:styleId="NoSpacing">
    <w:name w:val="No Spacing"/>
    <w:link w:val="NoSpacingChar"/>
    <w:uiPriority w:val="1"/>
    <w:qFormat/>
    <w:rsid w:val="00122402"/>
    <w:rPr>
      <w:rFonts w:ascii="PMingLiU" w:hAnsi="PMingLiU"/>
      <w:sz w:val="22"/>
      <w:szCs w:val="22"/>
      <w:lang w:val="en-US"/>
    </w:rPr>
  </w:style>
  <w:style w:type="character" w:customStyle="1" w:styleId="NoSpacingChar">
    <w:name w:val="No Spacing Char"/>
    <w:link w:val="NoSpacing"/>
    <w:rsid w:val="00122402"/>
    <w:rPr>
      <w:rFonts w:ascii="PMingLiU" w:hAnsi="PMingLiU"/>
      <w:sz w:val="22"/>
      <w:szCs w:val="22"/>
    </w:rPr>
  </w:style>
  <w:style w:type="table" w:styleId="TableGrid">
    <w:name w:val="Table Grid"/>
    <w:basedOn w:val="TableNormal"/>
    <w:uiPriority w:val="59"/>
    <w:rsid w:val="00112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1598A"/>
  </w:style>
  <w:style w:type="character" w:customStyle="1" w:styleId="FootnoteTextChar">
    <w:name w:val="Footnote Text Char"/>
    <w:basedOn w:val="DefaultParagraphFont"/>
    <w:link w:val="FootnoteText"/>
    <w:uiPriority w:val="99"/>
    <w:rsid w:val="0081598A"/>
  </w:style>
  <w:style w:type="character" w:styleId="FootnoteReference">
    <w:name w:val="footnote reference"/>
    <w:uiPriority w:val="99"/>
    <w:unhideWhenUsed/>
    <w:rsid w:val="0081598A"/>
    <w:rPr>
      <w:vertAlign w:val="superscript"/>
    </w:rPr>
  </w:style>
  <w:style w:type="paragraph" w:customStyle="1" w:styleId="Pa2">
    <w:name w:val="Pa2"/>
    <w:basedOn w:val="Default"/>
    <w:next w:val="Default"/>
    <w:uiPriority w:val="99"/>
    <w:rsid w:val="0081598A"/>
    <w:pPr>
      <w:spacing w:line="241" w:lineRule="atLeast"/>
    </w:pPr>
    <w:rPr>
      <w:rFonts w:cs="Times New Roman"/>
      <w:color w:val="auto"/>
    </w:rPr>
  </w:style>
  <w:style w:type="character" w:styleId="Hyperlink">
    <w:name w:val="Hyperlink"/>
    <w:basedOn w:val="DefaultParagraphFont"/>
    <w:uiPriority w:val="99"/>
    <w:unhideWhenUsed/>
    <w:rsid w:val="000C458B"/>
    <w:rPr>
      <w:color w:val="0000FF" w:themeColor="hyperlink"/>
      <w:u w:val="single"/>
    </w:rPr>
  </w:style>
  <w:style w:type="character" w:customStyle="1" w:styleId="Heading1Char">
    <w:name w:val="Heading 1 Char"/>
    <w:basedOn w:val="DefaultParagraphFont"/>
    <w:link w:val="Heading1"/>
    <w:uiPriority w:val="9"/>
    <w:rsid w:val="00C05BF3"/>
    <w:rPr>
      <w:rFonts w:asciiTheme="majorHAnsi" w:eastAsiaTheme="majorEastAsia" w:hAnsiTheme="majorHAnsi" w:cstheme="majorBidi"/>
      <w:b/>
      <w:sz w:val="32"/>
      <w:szCs w:val="32"/>
    </w:rPr>
  </w:style>
  <w:style w:type="paragraph" w:styleId="NormalWeb">
    <w:name w:val="Normal (Web)"/>
    <w:basedOn w:val="Normal"/>
    <w:uiPriority w:val="99"/>
    <w:unhideWhenUsed/>
    <w:rsid w:val="00C05BF3"/>
    <w:pPr>
      <w:spacing w:before="100" w:beforeAutospacing="1" w:after="100" w:afterAutospacing="1"/>
    </w:pPr>
    <w:rPr>
      <w:rFonts w:ascii="Times New Roman" w:eastAsiaTheme="minorHAnsi" w:hAnsi="Times New Roman"/>
      <w:lang w:val="en-CA" w:eastAsia="en-CA"/>
    </w:rPr>
  </w:style>
  <w:style w:type="character" w:styleId="Strong">
    <w:name w:val="Strong"/>
    <w:basedOn w:val="DefaultParagraphFont"/>
    <w:uiPriority w:val="22"/>
    <w:qFormat/>
    <w:rsid w:val="00E677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9770">
      <w:bodyDiv w:val="1"/>
      <w:marLeft w:val="0"/>
      <w:marRight w:val="0"/>
      <w:marTop w:val="0"/>
      <w:marBottom w:val="0"/>
      <w:divBdr>
        <w:top w:val="none" w:sz="0" w:space="0" w:color="auto"/>
        <w:left w:val="none" w:sz="0" w:space="0" w:color="auto"/>
        <w:bottom w:val="none" w:sz="0" w:space="0" w:color="auto"/>
        <w:right w:val="none" w:sz="0" w:space="0" w:color="auto"/>
      </w:divBdr>
    </w:div>
    <w:div w:id="489248628">
      <w:bodyDiv w:val="1"/>
      <w:marLeft w:val="0"/>
      <w:marRight w:val="0"/>
      <w:marTop w:val="0"/>
      <w:marBottom w:val="0"/>
      <w:divBdr>
        <w:top w:val="none" w:sz="0" w:space="0" w:color="auto"/>
        <w:left w:val="none" w:sz="0" w:space="0" w:color="auto"/>
        <w:bottom w:val="none" w:sz="0" w:space="0" w:color="auto"/>
        <w:right w:val="none" w:sz="0" w:space="0" w:color="auto"/>
      </w:divBdr>
    </w:div>
    <w:div w:id="1267470617">
      <w:bodyDiv w:val="1"/>
      <w:marLeft w:val="0"/>
      <w:marRight w:val="0"/>
      <w:marTop w:val="0"/>
      <w:marBottom w:val="0"/>
      <w:divBdr>
        <w:top w:val="none" w:sz="0" w:space="0" w:color="auto"/>
        <w:left w:val="none" w:sz="0" w:space="0" w:color="auto"/>
        <w:bottom w:val="none" w:sz="0" w:space="0" w:color="auto"/>
        <w:right w:val="none" w:sz="0" w:space="0" w:color="auto"/>
      </w:divBdr>
    </w:div>
    <w:div w:id="1513447622">
      <w:bodyDiv w:val="1"/>
      <w:marLeft w:val="0"/>
      <w:marRight w:val="0"/>
      <w:marTop w:val="0"/>
      <w:marBottom w:val="0"/>
      <w:divBdr>
        <w:top w:val="none" w:sz="0" w:space="0" w:color="auto"/>
        <w:left w:val="none" w:sz="0" w:space="0" w:color="auto"/>
        <w:bottom w:val="none" w:sz="0" w:space="0" w:color="auto"/>
        <w:right w:val="none" w:sz="0" w:space="0" w:color="auto"/>
      </w:divBdr>
    </w:div>
    <w:div w:id="1599867356">
      <w:bodyDiv w:val="1"/>
      <w:marLeft w:val="0"/>
      <w:marRight w:val="0"/>
      <w:marTop w:val="0"/>
      <w:marBottom w:val="0"/>
      <w:divBdr>
        <w:top w:val="none" w:sz="0" w:space="0" w:color="auto"/>
        <w:left w:val="none" w:sz="0" w:space="0" w:color="auto"/>
        <w:bottom w:val="none" w:sz="0" w:space="0" w:color="auto"/>
        <w:right w:val="none" w:sz="0" w:space="0" w:color="auto"/>
      </w:divBdr>
    </w:div>
    <w:div w:id="1904565405">
      <w:bodyDiv w:val="1"/>
      <w:marLeft w:val="0"/>
      <w:marRight w:val="0"/>
      <w:marTop w:val="0"/>
      <w:marBottom w:val="0"/>
      <w:divBdr>
        <w:top w:val="none" w:sz="0" w:space="0" w:color="auto"/>
        <w:left w:val="none" w:sz="0" w:space="0" w:color="auto"/>
        <w:bottom w:val="none" w:sz="0" w:space="0" w:color="auto"/>
        <w:right w:val="none" w:sz="0" w:space="0" w:color="auto"/>
      </w:divBdr>
    </w:div>
    <w:div w:id="2050572148">
      <w:bodyDiv w:val="1"/>
      <w:marLeft w:val="0"/>
      <w:marRight w:val="0"/>
      <w:marTop w:val="0"/>
      <w:marBottom w:val="0"/>
      <w:divBdr>
        <w:top w:val="none" w:sz="0" w:space="0" w:color="auto"/>
        <w:left w:val="none" w:sz="0" w:space="0" w:color="auto"/>
        <w:bottom w:val="none" w:sz="0" w:space="0" w:color="auto"/>
        <w:right w:val="none" w:sz="0" w:space="0" w:color="auto"/>
      </w:divBdr>
      <w:divsChild>
        <w:div w:id="1759327575">
          <w:marLeft w:val="0"/>
          <w:marRight w:val="0"/>
          <w:marTop w:val="0"/>
          <w:marBottom w:val="0"/>
          <w:divBdr>
            <w:top w:val="none" w:sz="0" w:space="0" w:color="auto"/>
            <w:left w:val="none" w:sz="0" w:space="0" w:color="auto"/>
            <w:bottom w:val="none" w:sz="0" w:space="0" w:color="auto"/>
            <w:right w:val="none" w:sz="0" w:space="0" w:color="auto"/>
          </w:divBdr>
        </w:div>
        <w:div w:id="15225524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Westaway Law Group Professional Corporation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EEEA64-1932-4F68-9716-36CBA4F3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1188</Words>
  <Characters>6641</Characters>
  <Application>Microsoft Office Word</Application>
  <DocSecurity>0</DocSecurity>
  <PresentationFormat/>
  <Lines>130</Lines>
  <Paragraphs>40</Paragraphs>
  <ScaleCrop>false</ScaleCrop>
  <HeadingPairs>
    <vt:vector size="2" baseType="variant">
      <vt:variant>
        <vt:lpstr>Title</vt:lpstr>
      </vt:variant>
      <vt:variant>
        <vt:i4>1</vt:i4>
      </vt:variant>
    </vt:vector>
  </HeadingPairs>
  <TitlesOfParts>
    <vt:vector size="1" baseType="lpstr">
      <vt:lpstr/>
    </vt:vector>
  </TitlesOfParts>
  <Company>Design de Plume</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wdNOSTAMP</dc:subject>
  <dc:creator>Design de Plume</dc:creator>
  <cp:keywords/>
  <dc:description/>
  <cp:lastModifiedBy>Heather Webster</cp:lastModifiedBy>
  <cp:revision>5</cp:revision>
  <cp:lastPrinted>2017-02-03T17:17:00Z</cp:lastPrinted>
  <dcterms:created xsi:type="dcterms:W3CDTF">2017-01-26T21:01:00Z</dcterms:created>
  <dcterms:modified xsi:type="dcterms:W3CDTF">2017-04-10T19:11:00Z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1/19/2017 4:46:01 PM</vt:lpwstr>
  </property>
  <property fmtid="{D5CDD505-2E9C-101B-9397-08002B2CF9AE}" pid="3" name="_MarkAsFinal">
    <vt:bool>true</vt:bool>
  </property>
</Properties>
</file>